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DFE" w:rsidRDefault="00FA42FE">
      <w:pPr>
        <w:spacing w:line="360" w:lineRule="auto"/>
        <w:jc w:val="center"/>
        <w:rPr>
          <w:b/>
          <w:sz w:val="28"/>
          <w:szCs w:val="28"/>
        </w:rPr>
      </w:pPr>
      <w:r>
        <w:rPr>
          <w:b/>
          <w:sz w:val="28"/>
          <w:szCs w:val="28"/>
        </w:rPr>
        <w:t>RELATÓRIO DE ANÁLISE DO CONTROLE INTERNO</w:t>
      </w:r>
    </w:p>
    <w:p w:rsidR="00AD0DFE" w:rsidRDefault="00277A18">
      <w:pPr>
        <w:spacing w:line="360" w:lineRule="auto"/>
        <w:jc w:val="center"/>
        <w:rPr>
          <w:b/>
          <w:sz w:val="28"/>
          <w:szCs w:val="28"/>
        </w:rPr>
      </w:pPr>
      <w:r>
        <w:rPr>
          <w:b/>
          <w:sz w:val="28"/>
          <w:szCs w:val="28"/>
        </w:rPr>
        <w:t>3</w:t>
      </w:r>
      <w:r w:rsidR="00FA42FE">
        <w:rPr>
          <w:b/>
          <w:sz w:val="28"/>
          <w:szCs w:val="28"/>
        </w:rPr>
        <w:t>º QUADRIMESTRE/2020</w:t>
      </w:r>
    </w:p>
    <w:p w:rsidR="00AD0DFE" w:rsidRDefault="00AD0DFE">
      <w:pPr>
        <w:spacing w:line="360" w:lineRule="auto"/>
      </w:pPr>
    </w:p>
    <w:p w:rsidR="00AD0DFE" w:rsidRDefault="00FA42FE">
      <w:pPr>
        <w:spacing w:line="360" w:lineRule="auto"/>
      </w:pPr>
      <w:r>
        <w:t>Relatório: Prestação de Contas Quadrimestral</w:t>
      </w:r>
    </w:p>
    <w:p w:rsidR="00AD0DFE" w:rsidRDefault="00FA42FE">
      <w:pPr>
        <w:spacing w:line="360" w:lineRule="auto"/>
      </w:pPr>
      <w:r>
        <w:t>N° 001/2020</w:t>
      </w:r>
    </w:p>
    <w:p w:rsidR="00AD0DFE" w:rsidRDefault="00FA42FE">
      <w:pPr>
        <w:spacing w:line="360" w:lineRule="auto"/>
        <w:rPr>
          <w:b/>
        </w:rPr>
      </w:pPr>
      <w:r>
        <w:t xml:space="preserve">Natureza Jurídica: </w:t>
      </w:r>
      <w:r>
        <w:rPr>
          <w:b/>
        </w:rPr>
        <w:t>Fundo Municipal de Saúde (Gestão)</w:t>
      </w:r>
    </w:p>
    <w:p w:rsidR="00AD0DFE" w:rsidRDefault="00FA42FE">
      <w:pPr>
        <w:tabs>
          <w:tab w:val="center" w:pos="4252"/>
        </w:tabs>
        <w:spacing w:line="360" w:lineRule="auto"/>
      </w:pPr>
      <w:r>
        <w:t>Gestor: Flávio dos Santos Garajau</w:t>
      </w:r>
      <w:r>
        <w:tab/>
      </w:r>
    </w:p>
    <w:p w:rsidR="00AD0DFE" w:rsidRDefault="00FA42FE">
      <w:pPr>
        <w:spacing w:line="360" w:lineRule="auto"/>
      </w:pPr>
      <w:r>
        <w:t>Controle Interno: Adelmo Rocha Bicalho</w:t>
      </w:r>
    </w:p>
    <w:p w:rsidR="00AD0DFE" w:rsidRDefault="00BC1BF1">
      <w:pPr>
        <w:spacing w:line="360" w:lineRule="auto"/>
      </w:pPr>
      <w:r>
        <w:t xml:space="preserve">Período: </w:t>
      </w:r>
      <w:r w:rsidR="00277A18">
        <w:t>Setembro</w:t>
      </w:r>
      <w:r w:rsidR="00FA42FE">
        <w:t xml:space="preserve"> a </w:t>
      </w:r>
      <w:r w:rsidR="00277A18">
        <w:t>Dezembro</w:t>
      </w:r>
      <w:r w:rsidR="00FA42FE">
        <w:t xml:space="preserve"> de 2020</w:t>
      </w:r>
    </w:p>
    <w:p w:rsidR="00AD0DFE" w:rsidRDefault="00FA42FE">
      <w:pPr>
        <w:spacing w:line="360" w:lineRule="auto"/>
      </w:pPr>
      <w:r>
        <w:t>Finalidades do Relatório:</w:t>
      </w:r>
    </w:p>
    <w:p w:rsidR="00AD0DFE" w:rsidRDefault="00AD0DFE">
      <w:pPr>
        <w:spacing w:line="360" w:lineRule="auto"/>
      </w:pPr>
    </w:p>
    <w:p w:rsidR="00AD0DFE" w:rsidRDefault="00FA42FE" w:rsidP="003B78D4">
      <w:pPr>
        <w:spacing w:line="360" w:lineRule="auto"/>
        <w:ind w:firstLine="709"/>
        <w:jc w:val="both"/>
      </w:pPr>
      <w:r>
        <w:t xml:space="preserve">Este relatório visa, o exame das demonstrações contábeis gerados pela contabilidade e os atos e fatos praticados pelos gestores do Fundo Municipal de Saúde: Flávio dos Santos Garajau – Secretários Municipais de Saúde, no </w:t>
      </w:r>
      <w:r w:rsidR="00277A18">
        <w:t>3</w:t>
      </w:r>
      <w:r>
        <w:t xml:space="preserve">° Quadrimestre de 2020. Em atendimento ao Art. 70 da Constituição Federal; as Leis Federais 4.320/1964 e 101/2000 (LRF); Resolução nº 7.739/2005/TCM/PA; Lei Municipal nº 1010 de 20/12/2019; ainda considerando as resoluções nº 10.329/2012 e 02/2015 do TCM/PA que solicita o relatório como parte integrante da Prestação de Contas. Objetivos a ser alcançado por este relatório, assegurar o cumprimento de leis, regulamentos e diretrizes da organização; salvaguardar o ativo e assegurar a legitimidade do passivo; assegurar que todas as transações realizadas durante o </w:t>
      </w:r>
      <w:r w:rsidR="00277A18">
        <w:t>3</w:t>
      </w:r>
      <w:r>
        <w:t xml:space="preserve">º </w:t>
      </w:r>
      <w:r w:rsidR="00277A18">
        <w:t>q</w:t>
      </w:r>
      <w:r>
        <w:t>uadrimestre de 2020, sejam validadas, registradas, autorizadas e totalizadas corretamente.</w:t>
      </w:r>
    </w:p>
    <w:p w:rsidR="00AD0DFE" w:rsidRDefault="006A102F">
      <w:pPr>
        <w:spacing w:line="360" w:lineRule="auto"/>
        <w:jc w:val="both"/>
      </w:pPr>
      <w:r>
        <w:t xml:space="preserve">           </w:t>
      </w:r>
      <w:r w:rsidR="00FA42FE">
        <w:t xml:space="preserve">Funções primordiais do controle interno são de acompanhar, orientar, fiscalizar, adotar quaisquer procedimentos para um bom desempenho das funções da instituição, seja ela documental ou operacional dentro de seu âmbito de atuação; fornecer subsídios ao gestor através de relatórios quadrimestrais e outros documentos, dando mais agilidade na correção de eventual desvio de função ou conduta que possa trazer prejuízos ao erário público, e comprometer administração pública. </w:t>
      </w:r>
    </w:p>
    <w:p w:rsidR="00AD0DFE" w:rsidRDefault="00AD0DFE">
      <w:pPr>
        <w:pStyle w:val="Ttulo11"/>
        <w:spacing w:before="0" w:line="360" w:lineRule="auto"/>
        <w:jc w:val="center"/>
        <w:rPr>
          <w:rFonts w:ascii="Times New Roman" w:hAnsi="Times New Roman"/>
          <w:color w:val="auto"/>
          <w:sz w:val="24"/>
          <w:szCs w:val="24"/>
        </w:rPr>
      </w:pPr>
    </w:p>
    <w:p w:rsidR="00AD0DFE" w:rsidRDefault="00FA42FE">
      <w:pPr>
        <w:pStyle w:val="Ttulo11"/>
        <w:spacing w:before="0" w:line="360" w:lineRule="auto"/>
        <w:jc w:val="center"/>
        <w:rPr>
          <w:rFonts w:ascii="Times New Roman" w:hAnsi="Times New Roman"/>
          <w:color w:val="auto"/>
          <w:sz w:val="24"/>
          <w:szCs w:val="24"/>
        </w:rPr>
      </w:pPr>
      <w:r>
        <w:rPr>
          <w:rFonts w:ascii="Times New Roman" w:hAnsi="Times New Roman"/>
          <w:color w:val="auto"/>
          <w:sz w:val="24"/>
          <w:szCs w:val="24"/>
        </w:rPr>
        <w:t>SUMÁRIO</w:t>
      </w:r>
    </w:p>
    <w:p w:rsidR="00AD0DFE" w:rsidRDefault="00AD0DFE"/>
    <w:p w:rsidR="00AD0DFE" w:rsidRDefault="00FA42FE">
      <w:pPr>
        <w:spacing w:line="360" w:lineRule="auto"/>
        <w:rPr>
          <w:b/>
        </w:rPr>
      </w:pPr>
      <w:r>
        <w:rPr>
          <w:b/>
        </w:rPr>
        <w:t>1 – Do Orçamento e Suas Alterações</w:t>
      </w:r>
    </w:p>
    <w:p w:rsidR="00AD0DFE" w:rsidRDefault="00FA42FE">
      <w:pPr>
        <w:spacing w:line="360" w:lineRule="auto"/>
        <w:rPr>
          <w:b/>
        </w:rPr>
      </w:pPr>
      <w:r>
        <w:rPr>
          <w:b/>
        </w:rPr>
        <w:t>2 – Gasto com Pessoal</w:t>
      </w:r>
    </w:p>
    <w:p w:rsidR="00AD0DFE" w:rsidRDefault="00FA42FE">
      <w:pPr>
        <w:spacing w:line="360" w:lineRule="auto"/>
        <w:rPr>
          <w:b/>
        </w:rPr>
      </w:pPr>
      <w:r>
        <w:rPr>
          <w:b/>
        </w:rPr>
        <w:t>3 – Contribuições Previdenciárias</w:t>
      </w:r>
    </w:p>
    <w:p w:rsidR="00AD0DFE" w:rsidRDefault="00FA42FE">
      <w:pPr>
        <w:spacing w:line="360" w:lineRule="auto"/>
        <w:rPr>
          <w:b/>
        </w:rPr>
      </w:pPr>
      <w:r>
        <w:rPr>
          <w:b/>
        </w:rPr>
        <w:lastRenderedPageBreak/>
        <w:t>4 – Concessões de Diárias</w:t>
      </w:r>
    </w:p>
    <w:p w:rsidR="00AD0DFE" w:rsidRDefault="00FA42FE">
      <w:pPr>
        <w:spacing w:line="360" w:lineRule="auto"/>
        <w:rPr>
          <w:b/>
        </w:rPr>
      </w:pPr>
      <w:r>
        <w:rPr>
          <w:b/>
        </w:rPr>
        <w:t>5 – Patrimônio</w:t>
      </w:r>
    </w:p>
    <w:p w:rsidR="00AD0DFE" w:rsidRDefault="00FA42FE">
      <w:pPr>
        <w:spacing w:line="360" w:lineRule="auto"/>
        <w:rPr>
          <w:b/>
        </w:rPr>
      </w:pPr>
      <w:r>
        <w:rPr>
          <w:b/>
        </w:rPr>
        <w:t>6 – Restos a Pagar</w:t>
      </w:r>
    </w:p>
    <w:p w:rsidR="00AD0DFE" w:rsidRDefault="00FA42FE">
      <w:pPr>
        <w:spacing w:line="360" w:lineRule="auto"/>
        <w:rPr>
          <w:b/>
        </w:rPr>
      </w:pPr>
      <w:r>
        <w:rPr>
          <w:b/>
        </w:rPr>
        <w:t>7 – Aplicação de Recursos em Saúde</w:t>
      </w:r>
    </w:p>
    <w:p w:rsidR="00AD0DFE" w:rsidRDefault="00FA42FE">
      <w:pPr>
        <w:spacing w:line="360" w:lineRule="auto"/>
        <w:rPr>
          <w:b/>
        </w:rPr>
      </w:pPr>
      <w:r>
        <w:rPr>
          <w:b/>
        </w:rPr>
        <w:t>8 – Da Contabilidade</w:t>
      </w:r>
    </w:p>
    <w:p w:rsidR="00AD0DFE" w:rsidRDefault="00FA42FE">
      <w:pPr>
        <w:spacing w:line="360" w:lineRule="auto"/>
        <w:rPr>
          <w:b/>
        </w:rPr>
      </w:pPr>
      <w:r>
        <w:rPr>
          <w:b/>
        </w:rPr>
        <w:t>9 – Das Considerações Finais</w:t>
      </w:r>
    </w:p>
    <w:p w:rsidR="00AD0DFE" w:rsidRDefault="00FA42FE">
      <w:pPr>
        <w:spacing w:line="360" w:lineRule="auto"/>
        <w:rPr>
          <w:b/>
        </w:rPr>
      </w:pPr>
      <w:r>
        <w:rPr>
          <w:b/>
        </w:rPr>
        <w:t>10 – Nota Explicativa</w:t>
      </w:r>
    </w:p>
    <w:p w:rsidR="00AD0DFE" w:rsidRDefault="00AD0DFE">
      <w:pPr>
        <w:spacing w:line="360" w:lineRule="auto"/>
        <w:rPr>
          <w:b/>
          <w:sz w:val="28"/>
          <w:szCs w:val="28"/>
        </w:rPr>
      </w:pPr>
    </w:p>
    <w:p w:rsidR="00AD0DFE" w:rsidRDefault="00FA42FE">
      <w:pPr>
        <w:spacing w:line="360" w:lineRule="auto"/>
      </w:pPr>
      <w:r>
        <w:rPr>
          <w:b/>
        </w:rPr>
        <w:t>1 – Do Orçamento e Suas Alterações:</w:t>
      </w:r>
    </w:p>
    <w:tbl>
      <w:tblPr>
        <w:tblW w:w="8251" w:type="dxa"/>
        <w:jc w:val="center"/>
        <w:tblCellMar>
          <w:left w:w="55" w:type="dxa"/>
          <w:right w:w="55" w:type="dxa"/>
        </w:tblCellMar>
        <w:tblLook w:val="0000" w:firstRow="0" w:lastRow="0" w:firstColumn="0" w:lastColumn="0" w:noHBand="0" w:noVBand="0"/>
      </w:tblPr>
      <w:tblGrid>
        <w:gridCol w:w="5813"/>
        <w:gridCol w:w="2438"/>
      </w:tblGrid>
      <w:tr w:rsidR="00AD0DFE" w:rsidTr="0030637F">
        <w:trPr>
          <w:trHeight w:val="307"/>
          <w:jc w:val="center"/>
        </w:trPr>
        <w:tc>
          <w:tcPr>
            <w:tcW w:w="5813" w:type="dxa"/>
            <w:tcBorders>
              <w:top w:val="single" w:sz="8" w:space="0" w:color="000000"/>
              <w:left w:val="single" w:sz="8" w:space="0" w:color="000000"/>
              <w:bottom w:val="single" w:sz="8" w:space="0" w:color="000000"/>
              <w:right w:val="single" w:sz="2" w:space="0" w:color="000000"/>
            </w:tcBorders>
            <w:shd w:val="clear" w:color="000000" w:fill="auto"/>
          </w:tcPr>
          <w:p w:rsidR="00AD0DFE" w:rsidRDefault="00FA42FE">
            <w:r>
              <w:rPr>
                <w:rFonts w:eastAsiaTheme="minorHAnsi"/>
                <w:smallCaps/>
                <w:lang w:eastAsia="en-US"/>
              </w:rPr>
              <w:t xml:space="preserve">Dotação Inicial Despesas </w:t>
            </w:r>
          </w:p>
        </w:tc>
        <w:tc>
          <w:tcPr>
            <w:tcW w:w="2438" w:type="dxa"/>
            <w:tcBorders>
              <w:top w:val="single" w:sz="8" w:space="0" w:color="000000"/>
              <w:left w:val="single" w:sz="8" w:space="0" w:color="000000"/>
              <w:bottom w:val="single" w:sz="8" w:space="0" w:color="000000"/>
              <w:right w:val="single" w:sz="8" w:space="0" w:color="000000"/>
            </w:tcBorders>
            <w:shd w:val="clear" w:color="000000" w:fill="auto"/>
          </w:tcPr>
          <w:p w:rsidR="00AD0DFE" w:rsidRPr="00277A18" w:rsidRDefault="00FA42FE">
            <w:pPr>
              <w:jc w:val="right"/>
              <w:rPr>
                <w:rFonts w:eastAsiaTheme="minorHAnsi"/>
                <w:color w:val="FF0000"/>
                <w:lang w:eastAsia="en-US"/>
              </w:rPr>
            </w:pPr>
            <w:r w:rsidRPr="00277A18">
              <w:rPr>
                <w:rFonts w:eastAsiaTheme="minorHAnsi"/>
                <w:color w:val="FF0000"/>
                <w:lang w:eastAsia="en-US"/>
              </w:rPr>
              <w:t>62.844.727,02</w:t>
            </w:r>
          </w:p>
        </w:tc>
      </w:tr>
      <w:tr w:rsidR="00AD0DFE" w:rsidTr="0030637F">
        <w:trPr>
          <w:trHeight w:val="268"/>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Dotação Suplementar</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AA6FBE" w:rsidP="00AA6FBE">
            <w:pPr>
              <w:jc w:val="right"/>
              <w:rPr>
                <w:rFonts w:eastAsiaTheme="minorHAnsi"/>
                <w:color w:val="FF0000"/>
                <w:lang w:eastAsia="en-US"/>
              </w:rPr>
            </w:pPr>
            <w:r w:rsidRPr="00277A18">
              <w:rPr>
                <w:rFonts w:eastAsiaTheme="minorHAnsi"/>
                <w:color w:val="FF0000"/>
                <w:lang w:eastAsia="en-US"/>
              </w:rPr>
              <w:t>26.195.751,98</w:t>
            </w:r>
          </w:p>
        </w:tc>
      </w:tr>
      <w:tr w:rsidR="00AD0DFE" w:rsidTr="0030637F">
        <w:trPr>
          <w:trHeight w:val="245"/>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Dotação Especial</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FA42FE">
            <w:pPr>
              <w:jc w:val="right"/>
              <w:rPr>
                <w:rFonts w:eastAsiaTheme="minorHAnsi"/>
                <w:color w:val="FF0000"/>
                <w:lang w:eastAsia="en-US"/>
              </w:rPr>
            </w:pPr>
            <w:r w:rsidRPr="00277A18">
              <w:rPr>
                <w:rFonts w:eastAsiaTheme="minorHAnsi"/>
                <w:smallCaps/>
                <w:color w:val="FF0000"/>
                <w:lang w:eastAsia="en-US"/>
              </w:rPr>
              <w:t>0,00</w:t>
            </w:r>
          </w:p>
        </w:tc>
      </w:tr>
      <w:tr w:rsidR="00AD0DFE" w:rsidTr="0030637F">
        <w:trPr>
          <w:trHeight w:val="262"/>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Dotação Extraordinária</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FA42FE">
            <w:pPr>
              <w:jc w:val="right"/>
              <w:rPr>
                <w:rFonts w:eastAsiaTheme="minorHAnsi"/>
                <w:color w:val="FF0000"/>
                <w:lang w:eastAsia="en-US"/>
              </w:rPr>
            </w:pPr>
            <w:r w:rsidRPr="00277A18">
              <w:rPr>
                <w:rFonts w:eastAsiaTheme="minorHAnsi"/>
                <w:smallCaps/>
                <w:color w:val="FF0000"/>
                <w:lang w:eastAsia="en-US"/>
              </w:rPr>
              <w:t>0,00</w:t>
            </w:r>
          </w:p>
        </w:tc>
      </w:tr>
      <w:tr w:rsidR="00AD0DFE" w:rsidTr="0030637F">
        <w:trPr>
          <w:trHeight w:val="253"/>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Total da Dotação</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AA6FBE" w:rsidP="00AA6FBE">
            <w:pPr>
              <w:jc w:val="right"/>
              <w:rPr>
                <w:rFonts w:eastAsiaTheme="minorHAnsi"/>
                <w:color w:val="FF0000"/>
                <w:lang w:eastAsia="en-US"/>
              </w:rPr>
            </w:pPr>
            <w:r w:rsidRPr="00277A18">
              <w:rPr>
                <w:rFonts w:eastAsiaTheme="minorHAnsi"/>
                <w:color w:val="FF0000"/>
                <w:lang w:eastAsia="en-US"/>
              </w:rPr>
              <w:t>89.040.479,00</w:t>
            </w:r>
          </w:p>
        </w:tc>
      </w:tr>
      <w:tr w:rsidR="00AD0DFE" w:rsidTr="0030637F">
        <w:trPr>
          <w:trHeight w:val="229"/>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Dotação Anulada</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FA42FE">
            <w:pPr>
              <w:jc w:val="right"/>
              <w:rPr>
                <w:rFonts w:eastAsiaTheme="minorHAnsi"/>
                <w:color w:val="FF0000"/>
                <w:lang w:eastAsia="en-US"/>
              </w:rPr>
            </w:pPr>
            <w:r w:rsidRPr="00277A18">
              <w:rPr>
                <w:rFonts w:eastAsiaTheme="minorHAnsi"/>
                <w:color w:val="FF0000"/>
                <w:lang w:eastAsia="en-US"/>
              </w:rPr>
              <w:t>0,00</w:t>
            </w:r>
          </w:p>
        </w:tc>
      </w:tr>
      <w:tr w:rsidR="00AD0DFE" w:rsidTr="0030637F">
        <w:trPr>
          <w:trHeight w:val="229"/>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auto"/>
          </w:tcPr>
          <w:p w:rsidR="00AD0DFE" w:rsidRDefault="00FA42FE">
            <w:pPr>
              <w:rPr>
                <w:rFonts w:eastAsiaTheme="minorHAnsi"/>
                <w:lang w:eastAsia="en-US"/>
              </w:rPr>
            </w:pPr>
            <w:r>
              <w:rPr>
                <w:rFonts w:eastAsiaTheme="minorHAnsi"/>
                <w:smallCaps/>
                <w:lang w:eastAsia="en-US"/>
              </w:rPr>
              <w:t>Dotação Realizada Final</w:t>
            </w:r>
          </w:p>
        </w:tc>
        <w:tc>
          <w:tcPr>
            <w:tcW w:w="2438" w:type="dxa"/>
            <w:tcBorders>
              <w:top w:val="single" w:sz="2" w:space="0" w:color="000000"/>
              <w:left w:val="single" w:sz="8" w:space="0" w:color="000000"/>
              <w:bottom w:val="single" w:sz="8" w:space="0" w:color="000000"/>
              <w:right w:val="single" w:sz="8" w:space="0" w:color="000000"/>
            </w:tcBorders>
            <w:shd w:val="clear" w:color="000000" w:fill="auto"/>
          </w:tcPr>
          <w:p w:rsidR="00AD0DFE" w:rsidRPr="00277A18" w:rsidRDefault="00AA6FBE" w:rsidP="00AA6FBE">
            <w:pPr>
              <w:jc w:val="right"/>
              <w:rPr>
                <w:rFonts w:eastAsiaTheme="minorHAnsi"/>
                <w:color w:val="FF0000"/>
                <w:lang w:eastAsia="en-US"/>
              </w:rPr>
            </w:pPr>
            <w:r w:rsidRPr="00277A18">
              <w:rPr>
                <w:rFonts w:eastAsiaTheme="minorHAnsi"/>
                <w:color w:val="FF0000"/>
                <w:lang w:eastAsia="en-US"/>
              </w:rPr>
              <w:t>65.404.053,27</w:t>
            </w:r>
          </w:p>
        </w:tc>
      </w:tr>
      <w:tr w:rsidR="00AD0DFE" w:rsidTr="0030637F">
        <w:trPr>
          <w:trHeight w:val="235"/>
          <w:jc w:val="center"/>
        </w:trPr>
        <w:tc>
          <w:tcPr>
            <w:tcW w:w="5813" w:type="dxa"/>
            <w:tcBorders>
              <w:top w:val="single" w:sz="2" w:space="0" w:color="000000"/>
              <w:left w:val="single" w:sz="8" w:space="0" w:color="000000"/>
              <w:bottom w:val="single" w:sz="8" w:space="0" w:color="000000"/>
              <w:right w:val="single" w:sz="2" w:space="0" w:color="000000"/>
            </w:tcBorders>
            <w:shd w:val="clear" w:color="000000" w:fill="FFFFCC"/>
          </w:tcPr>
          <w:p w:rsidR="00AD0DFE" w:rsidRDefault="00FA42FE">
            <w:pPr>
              <w:rPr>
                <w:rFonts w:eastAsiaTheme="minorHAnsi"/>
                <w:lang w:eastAsia="en-US"/>
              </w:rPr>
            </w:pPr>
            <w:r>
              <w:rPr>
                <w:rFonts w:eastAsiaTheme="minorHAnsi"/>
                <w:smallCaps/>
                <w:lang w:eastAsia="en-US"/>
              </w:rPr>
              <w:t>Dotação – Saldo disponível</w:t>
            </w:r>
          </w:p>
        </w:tc>
        <w:tc>
          <w:tcPr>
            <w:tcW w:w="2438" w:type="dxa"/>
            <w:tcBorders>
              <w:top w:val="single" w:sz="2" w:space="0" w:color="000000"/>
              <w:left w:val="single" w:sz="8" w:space="0" w:color="000000"/>
              <w:bottom w:val="single" w:sz="8" w:space="0" w:color="000000"/>
              <w:right w:val="single" w:sz="8" w:space="0" w:color="000000"/>
            </w:tcBorders>
            <w:shd w:val="clear" w:color="000000" w:fill="FFFFCC"/>
            <w:vAlign w:val="bottom"/>
          </w:tcPr>
          <w:p w:rsidR="00AD0DFE" w:rsidRPr="00277A18" w:rsidRDefault="00AA6FBE" w:rsidP="00AA6FBE">
            <w:pPr>
              <w:jc w:val="right"/>
              <w:rPr>
                <w:rFonts w:eastAsiaTheme="minorHAnsi"/>
                <w:b/>
                <w:color w:val="FF0000"/>
                <w:lang w:eastAsia="en-US"/>
              </w:rPr>
            </w:pPr>
            <w:r w:rsidRPr="00277A18">
              <w:rPr>
                <w:rFonts w:eastAsiaTheme="minorHAnsi"/>
                <w:b/>
                <w:color w:val="FF0000"/>
                <w:lang w:eastAsia="en-US"/>
              </w:rPr>
              <w:t>23.636.425,73</w:t>
            </w:r>
          </w:p>
        </w:tc>
      </w:tr>
    </w:tbl>
    <w:p w:rsidR="00AD0DFE" w:rsidRDefault="00FA42FE">
      <w:pPr>
        <w:tabs>
          <w:tab w:val="left" w:pos="5944"/>
        </w:tabs>
        <w:spacing w:line="360" w:lineRule="auto"/>
        <w:rPr>
          <w:b/>
        </w:rPr>
      </w:pPr>
      <w:r>
        <w:rPr>
          <w:b/>
        </w:rPr>
        <w:tab/>
      </w:r>
    </w:p>
    <w:p w:rsidR="00AD0DFE" w:rsidRDefault="006A102F">
      <w:pPr>
        <w:tabs>
          <w:tab w:val="left" w:pos="709"/>
        </w:tabs>
        <w:spacing w:line="360" w:lineRule="auto"/>
        <w:jc w:val="both"/>
        <w:rPr>
          <w:b/>
          <w:color w:val="FF0000"/>
        </w:rPr>
      </w:pPr>
      <w:r>
        <w:rPr>
          <w:color w:val="000000"/>
        </w:rPr>
        <w:t xml:space="preserve">           </w:t>
      </w:r>
      <w:r w:rsidR="00FA42FE">
        <w:rPr>
          <w:color w:val="000000"/>
        </w:rPr>
        <w:t xml:space="preserve">Para o exercício de 2020 a despesa foi fixada e a receita foi estimada pela Lei Municipal nº </w:t>
      </w:r>
      <w:r w:rsidR="00FA42FE">
        <w:t>1010 de 20/12/2019</w:t>
      </w:r>
      <w:r w:rsidR="00FA42FE">
        <w:rPr>
          <w:color w:val="000000"/>
        </w:rPr>
        <w:t xml:space="preserve">. Dotação inicial no valor de </w:t>
      </w:r>
      <w:r w:rsidR="00FA42FE">
        <w:rPr>
          <w:b/>
          <w:bCs/>
          <w:color w:val="000000"/>
        </w:rPr>
        <w:t xml:space="preserve">R$ </w:t>
      </w:r>
      <w:r w:rsidR="00FA42FE" w:rsidRPr="00277A18">
        <w:rPr>
          <w:b/>
          <w:bCs/>
          <w:color w:val="FF0000"/>
        </w:rPr>
        <w:t>62.844.727,02</w:t>
      </w:r>
      <w:r w:rsidR="00FA42FE">
        <w:t xml:space="preserve">. Para o </w:t>
      </w:r>
      <w:r w:rsidR="00277A18">
        <w:t>3</w:t>
      </w:r>
      <w:r w:rsidR="00FA42FE">
        <w:t xml:space="preserve">° quadrimestre a dotação foi atualizada para </w:t>
      </w:r>
      <w:r w:rsidR="00FA42FE">
        <w:rPr>
          <w:b/>
        </w:rPr>
        <w:t xml:space="preserve">R$ </w:t>
      </w:r>
      <w:r w:rsidR="00457E0F" w:rsidRPr="00277A18">
        <w:rPr>
          <w:b/>
          <w:color w:val="FF0000"/>
        </w:rPr>
        <w:t>89.040.479,00</w:t>
      </w:r>
      <w:r w:rsidR="00FA42FE">
        <w:t>.</w:t>
      </w:r>
      <w:r w:rsidR="00277A18">
        <w:t xml:space="preserve"> </w:t>
      </w:r>
      <w:r w:rsidR="00FA42FE">
        <w:t xml:space="preserve">As despesas realizadas foram de </w:t>
      </w:r>
      <w:r w:rsidR="00FA42FE">
        <w:rPr>
          <w:b/>
        </w:rPr>
        <w:t xml:space="preserve">R$ </w:t>
      </w:r>
      <w:r w:rsidR="00457E0F" w:rsidRPr="00277A18">
        <w:rPr>
          <w:b/>
          <w:color w:val="FF0000"/>
        </w:rPr>
        <w:t>65.404.053,27</w:t>
      </w:r>
      <w:r w:rsidR="00FA42FE">
        <w:rPr>
          <w:b/>
        </w:rPr>
        <w:t>.</w:t>
      </w:r>
    </w:p>
    <w:p w:rsidR="00AD0DFE" w:rsidRDefault="006A102F">
      <w:pPr>
        <w:spacing w:line="360" w:lineRule="auto"/>
        <w:jc w:val="both"/>
      </w:pPr>
      <w:r>
        <w:t xml:space="preserve">           </w:t>
      </w:r>
      <w:r w:rsidR="00FA42FE">
        <w:t xml:space="preserve">Na análise do Balancete </w:t>
      </w:r>
      <w:r w:rsidR="00BC1BF1">
        <w:t xml:space="preserve">Resumido </w:t>
      </w:r>
      <w:r w:rsidR="00FA42FE">
        <w:t>verificou</w:t>
      </w:r>
      <w:r w:rsidR="00901FD5">
        <w:t>-se</w:t>
      </w:r>
      <w:r w:rsidR="00FA42FE">
        <w:t xml:space="preserve"> que a despesa realizada no período correspondeu</w:t>
      </w:r>
      <w:r w:rsidR="00277A18">
        <w:t xml:space="preserve"> </w:t>
      </w:r>
      <w:r w:rsidR="00457E0F" w:rsidRPr="00277A18">
        <w:rPr>
          <w:b/>
          <w:color w:val="FF0000"/>
        </w:rPr>
        <w:t>73,45</w:t>
      </w:r>
      <w:r w:rsidR="00FA42FE" w:rsidRPr="00277A18">
        <w:rPr>
          <w:b/>
          <w:color w:val="FF0000"/>
        </w:rPr>
        <w:t>%</w:t>
      </w:r>
      <w:r w:rsidR="00FA42FE">
        <w:t xml:space="preserve"> da dotação fixada. E que houve créditos suplementares no montante de </w:t>
      </w:r>
      <w:r w:rsidR="00FA42FE">
        <w:rPr>
          <w:b/>
        </w:rPr>
        <w:t xml:space="preserve">R$ </w:t>
      </w:r>
      <w:r w:rsidR="00084046" w:rsidRPr="00277A18">
        <w:rPr>
          <w:b/>
          <w:color w:val="FF0000"/>
        </w:rPr>
        <w:t>26.195.751,98</w:t>
      </w:r>
      <w:r w:rsidR="00FA42FE">
        <w:t>. Sendo que</w:t>
      </w:r>
      <w:r w:rsidR="00084046">
        <w:t xml:space="preserve"> não</w:t>
      </w:r>
      <w:r w:rsidR="00FA42FE">
        <w:t xml:space="preserve"> foi constatada a abertura/anulação de créditos adicionais suplementares por fonte de anulação no período em conformidade com o art. 42 e 43 da Lei 4.320/64.</w:t>
      </w:r>
    </w:p>
    <w:p w:rsidR="00AD0DFE" w:rsidRDefault="00AD0DFE">
      <w:pPr>
        <w:spacing w:line="360" w:lineRule="auto"/>
        <w:rPr>
          <w:b/>
        </w:rPr>
      </w:pPr>
    </w:p>
    <w:p w:rsidR="00AD0DFE" w:rsidRDefault="00FA42FE">
      <w:pPr>
        <w:spacing w:line="360" w:lineRule="auto"/>
        <w:rPr>
          <w:b/>
        </w:rPr>
      </w:pPr>
      <w:r>
        <w:rPr>
          <w:b/>
        </w:rPr>
        <w:t>2 – Gasto com Pessoal:</w:t>
      </w:r>
    </w:p>
    <w:p w:rsidR="00D97CC7" w:rsidRDefault="00D97CC7" w:rsidP="00D97CC7">
      <w:pPr>
        <w:spacing w:before="113" w:after="113" w:line="360" w:lineRule="auto"/>
        <w:jc w:val="center"/>
      </w:pPr>
      <w:r>
        <w:rPr>
          <w:rFonts w:eastAsiaTheme="minorHAnsi"/>
          <w:b/>
          <w:bCs/>
          <w:smallCaps/>
          <w:color w:val="000000"/>
          <w:lang w:eastAsia="en-US"/>
        </w:rPr>
        <w:t>Limite do Poder Executivo (Art. 20, inciso III, alínea “b” da  LC 101/2000)</w:t>
      </w:r>
    </w:p>
    <w:tbl>
      <w:tblPr>
        <w:tblW w:w="8424" w:type="dxa"/>
        <w:jc w:val="center"/>
        <w:tblCellMar>
          <w:left w:w="55" w:type="dxa"/>
          <w:right w:w="55" w:type="dxa"/>
        </w:tblCellMar>
        <w:tblLook w:val="04A0" w:firstRow="1" w:lastRow="0" w:firstColumn="1" w:lastColumn="0" w:noHBand="0" w:noVBand="1"/>
      </w:tblPr>
      <w:tblGrid>
        <w:gridCol w:w="6635"/>
        <w:gridCol w:w="1789"/>
      </w:tblGrid>
      <w:tr w:rsidR="00D97CC7" w:rsidTr="00D97CC7">
        <w:trPr>
          <w:trHeight w:val="291"/>
          <w:jc w:val="center"/>
        </w:trPr>
        <w:tc>
          <w:tcPr>
            <w:tcW w:w="6634" w:type="dxa"/>
            <w:tcBorders>
              <w:top w:val="single" w:sz="8" w:space="0" w:color="000000"/>
              <w:left w:val="single" w:sz="8" w:space="0" w:color="000000"/>
              <w:bottom w:val="single" w:sz="8" w:space="0" w:color="000000"/>
              <w:right w:val="single" w:sz="2" w:space="0" w:color="000000"/>
            </w:tcBorders>
            <w:shd w:val="clear" w:color="auto" w:fill="FFFFCC"/>
            <w:vAlign w:val="center"/>
            <w:hideMark/>
          </w:tcPr>
          <w:p w:rsidR="00D97CC7" w:rsidRDefault="00D97CC7">
            <w:pPr>
              <w:spacing w:line="360" w:lineRule="auto"/>
              <w:jc w:val="center"/>
              <w:rPr>
                <w:rFonts w:eastAsiaTheme="minorHAnsi"/>
                <w:lang w:eastAsia="en-US"/>
              </w:rPr>
            </w:pPr>
            <w:r>
              <w:rPr>
                <w:rFonts w:eastAsiaTheme="minorHAnsi"/>
                <w:b/>
                <w:bCs/>
                <w:smallCaps/>
                <w:lang w:eastAsia="en-US"/>
              </w:rPr>
              <w:t>DESPESA COM PESSOAL (PM + Fundos + SAAE + IPASET + CTTUC – CM)</w:t>
            </w:r>
          </w:p>
        </w:tc>
        <w:tc>
          <w:tcPr>
            <w:tcW w:w="1789"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D97CC7" w:rsidRDefault="00D97CC7">
            <w:pPr>
              <w:spacing w:line="360" w:lineRule="auto"/>
              <w:jc w:val="center"/>
              <w:rPr>
                <w:rFonts w:eastAsiaTheme="minorHAnsi"/>
                <w:lang w:eastAsia="en-US"/>
              </w:rPr>
            </w:pPr>
            <w:r>
              <w:rPr>
                <w:rFonts w:eastAsiaTheme="minorHAnsi"/>
                <w:b/>
                <w:bCs/>
                <w:smallCaps/>
                <w:lang w:eastAsia="en-US"/>
              </w:rPr>
              <w:t>VALOR EM R$</w:t>
            </w:r>
          </w:p>
        </w:tc>
      </w:tr>
      <w:tr w:rsidR="00D97CC7" w:rsidTr="00D97CC7">
        <w:trPr>
          <w:trHeight w:val="211"/>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t>Despesa Líquida com Pessoal – (I)</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b/>
                <w:color w:val="FF0000"/>
                <w:lang w:eastAsia="en-US"/>
              </w:rPr>
            </w:pPr>
            <w:r w:rsidRPr="00277A18">
              <w:rPr>
                <w:rFonts w:eastAsiaTheme="minorHAnsi"/>
                <w:b/>
                <w:color w:val="FF0000"/>
                <w:lang w:eastAsia="en-US"/>
              </w:rPr>
              <w:t>174.195.918,90</w:t>
            </w:r>
          </w:p>
        </w:tc>
      </w:tr>
      <w:tr w:rsidR="00D97CC7" w:rsidTr="00D97CC7">
        <w:trPr>
          <w:trHeight w:val="27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Pessoal Ativo</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186.595.074,45</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Pessoal Inativo e Pensionistas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18.777.835,94</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lastRenderedPageBreak/>
              <w:t>(-) Despesas não computadas (art. 19, § 1º – LRF)</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b/>
                <w:color w:val="FF0000"/>
                <w:lang w:eastAsia="en-US"/>
              </w:rPr>
            </w:pPr>
            <w:r w:rsidRPr="00277A18">
              <w:rPr>
                <w:rFonts w:eastAsiaTheme="minorHAnsi"/>
                <w:b/>
                <w:color w:val="FF0000"/>
                <w:lang w:eastAsia="en-US"/>
              </w:rPr>
              <w:t>31.176.991,49</w:t>
            </w:r>
          </w:p>
        </w:tc>
      </w:tr>
      <w:tr w:rsidR="00D97CC7" w:rsidTr="00D97CC7">
        <w:trPr>
          <w:trHeight w:val="263"/>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Indenização por Demissão e Incentivo à Demissão Voluntária</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12.093.822,67</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Decorrentes de Decisão Judicial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71.231,37</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Despesas de Exercícios Anteriores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234.101,51</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smallCaps/>
                <w:lang w:eastAsia="en-US"/>
              </w:rPr>
              <w:t>Inativos com Recursos Vinculados</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18.777.835,94</w:t>
            </w:r>
          </w:p>
        </w:tc>
      </w:tr>
      <w:tr w:rsidR="00D97CC7" w:rsidTr="00D97CC7">
        <w:trPr>
          <w:trHeight w:val="498"/>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t xml:space="preserve">Outras Despesas de Pessoal – Terceirizados (Art. 18, § 1º – LRF) – (II) – Consultoria </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color w:val="FF0000"/>
                <w:lang w:eastAsia="en-US"/>
              </w:rPr>
            </w:pPr>
            <w:r w:rsidRPr="00277A18">
              <w:rPr>
                <w:rFonts w:eastAsiaTheme="minorHAnsi"/>
                <w:color w:val="FF0000"/>
                <w:lang w:eastAsia="en-US"/>
              </w:rPr>
              <w:t>0,00</w:t>
            </w:r>
          </w:p>
        </w:tc>
      </w:tr>
      <w:tr w:rsidR="00D97CC7" w:rsidTr="00D97CC7">
        <w:trPr>
          <w:trHeight w:val="346"/>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t>Encargos Patronais Estimados e não Apropriados – (III)</w:t>
            </w:r>
          </w:p>
        </w:tc>
        <w:tc>
          <w:tcPr>
            <w:tcW w:w="1789" w:type="dxa"/>
            <w:tcBorders>
              <w:top w:val="single" w:sz="2" w:space="0" w:color="000000"/>
              <w:left w:val="single" w:sz="8" w:space="0" w:color="000000"/>
              <w:bottom w:val="single" w:sz="8" w:space="0" w:color="000000"/>
              <w:right w:val="single" w:sz="8" w:space="0" w:color="000000"/>
            </w:tcBorders>
            <w:vAlign w:val="center"/>
          </w:tcPr>
          <w:p w:rsidR="00D97CC7" w:rsidRDefault="00D97CC7">
            <w:pPr>
              <w:spacing w:line="360" w:lineRule="auto"/>
              <w:jc w:val="right"/>
              <w:rPr>
                <w:rFonts w:eastAsiaTheme="minorHAnsi"/>
                <w:color w:val="FF0000"/>
                <w:lang w:eastAsia="en-US"/>
              </w:rPr>
            </w:pP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D97CC7" w:rsidRDefault="00D97CC7">
            <w:pPr>
              <w:spacing w:line="360" w:lineRule="auto"/>
              <w:rPr>
                <w:rFonts w:eastAsiaTheme="minorHAnsi"/>
                <w:lang w:eastAsia="en-US"/>
              </w:rPr>
            </w:pPr>
            <w:r>
              <w:rPr>
                <w:rFonts w:eastAsiaTheme="minorHAnsi"/>
                <w:b/>
                <w:bCs/>
                <w:smallCaps/>
                <w:lang w:eastAsia="en-US"/>
              </w:rPr>
              <w:t>Total da Despesa c/ Pessoal para fins de Apuração do Limite – DTP</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D97CC7" w:rsidRPr="00277A18" w:rsidRDefault="00D97CC7">
            <w:pPr>
              <w:spacing w:line="360" w:lineRule="auto"/>
              <w:jc w:val="right"/>
              <w:rPr>
                <w:rFonts w:eastAsiaTheme="minorHAnsi"/>
                <w:b/>
                <w:color w:val="FF0000"/>
                <w:lang w:eastAsia="en-US"/>
              </w:rPr>
            </w:pPr>
            <w:r w:rsidRPr="00277A18">
              <w:rPr>
                <w:rFonts w:eastAsiaTheme="minorHAnsi"/>
                <w:b/>
                <w:color w:val="FF0000"/>
                <w:lang w:eastAsia="en-US"/>
              </w:rPr>
              <w:t>175.020.980,38</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t>Receita Corrente Líquida – RCL</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b/>
                <w:color w:val="FF0000"/>
                <w:lang w:eastAsia="en-US"/>
              </w:rPr>
            </w:pPr>
            <w:r w:rsidRPr="00277A18">
              <w:rPr>
                <w:rFonts w:eastAsiaTheme="minorHAnsi"/>
                <w:b/>
                <w:color w:val="FF0000"/>
                <w:lang w:eastAsia="en-US"/>
              </w:rPr>
              <w:t>365.407.724,19</w:t>
            </w:r>
          </w:p>
        </w:tc>
      </w:tr>
      <w:tr w:rsidR="00D97CC7" w:rsidTr="00D97CC7">
        <w:trPr>
          <w:trHeight w:val="340"/>
          <w:jc w:val="center"/>
        </w:trPr>
        <w:tc>
          <w:tcPr>
            <w:tcW w:w="6634"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D97CC7" w:rsidRDefault="00D97CC7">
            <w:pPr>
              <w:spacing w:line="360" w:lineRule="auto"/>
              <w:rPr>
                <w:rFonts w:eastAsiaTheme="minorHAnsi"/>
                <w:lang w:eastAsia="en-US"/>
              </w:rPr>
            </w:pPr>
            <w:r>
              <w:rPr>
                <w:rFonts w:eastAsiaTheme="minorHAnsi"/>
                <w:b/>
                <w:bCs/>
                <w:smallCaps/>
                <w:lang w:eastAsia="en-US"/>
              </w:rPr>
              <w:t>TDP/RCL – %</w:t>
            </w:r>
          </w:p>
        </w:tc>
        <w:tc>
          <w:tcPr>
            <w:tcW w:w="178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D97CC7" w:rsidRPr="00277A18" w:rsidRDefault="00D97CC7">
            <w:pPr>
              <w:spacing w:line="360" w:lineRule="auto"/>
              <w:ind w:left="708"/>
              <w:jc w:val="center"/>
              <w:rPr>
                <w:rFonts w:eastAsiaTheme="minorHAnsi"/>
                <w:b/>
                <w:color w:val="FF0000"/>
                <w:lang w:eastAsia="en-US"/>
              </w:rPr>
            </w:pPr>
            <w:r w:rsidRPr="00277A18">
              <w:rPr>
                <w:rFonts w:eastAsiaTheme="minorHAnsi"/>
                <w:b/>
                <w:color w:val="FF0000"/>
                <w:lang w:eastAsia="en-US"/>
              </w:rPr>
              <w:t>47,90%</w:t>
            </w:r>
          </w:p>
        </w:tc>
      </w:tr>
      <w:tr w:rsidR="00D97CC7" w:rsidTr="00D97CC7">
        <w:trPr>
          <w:trHeight w:val="265"/>
          <w:jc w:val="center"/>
        </w:trPr>
        <w:tc>
          <w:tcPr>
            <w:tcW w:w="6634" w:type="dxa"/>
            <w:tcBorders>
              <w:top w:val="single" w:sz="2" w:space="0" w:color="000000"/>
              <w:left w:val="single" w:sz="8" w:space="0" w:color="000000"/>
              <w:bottom w:val="single" w:sz="8" w:space="0" w:color="000000"/>
              <w:right w:val="single" w:sz="2" w:space="0" w:color="000000"/>
            </w:tcBorders>
            <w:vAlign w:val="center"/>
            <w:hideMark/>
          </w:tcPr>
          <w:p w:rsidR="00D97CC7" w:rsidRDefault="00D97CC7">
            <w:pPr>
              <w:spacing w:line="360" w:lineRule="auto"/>
              <w:rPr>
                <w:rFonts w:eastAsiaTheme="minorHAnsi"/>
                <w:lang w:eastAsia="en-US"/>
              </w:rPr>
            </w:pPr>
            <w:r>
              <w:rPr>
                <w:rFonts w:eastAsiaTheme="minorHAnsi"/>
                <w:b/>
                <w:bCs/>
                <w:smallCaps/>
                <w:lang w:eastAsia="en-US"/>
              </w:rPr>
              <w:t>Limite Máximo (Incisos I, II e III, Art. 20 – LRF) – 54%</w:t>
            </w:r>
          </w:p>
        </w:tc>
        <w:tc>
          <w:tcPr>
            <w:tcW w:w="1789" w:type="dxa"/>
            <w:tcBorders>
              <w:top w:val="single" w:sz="2" w:space="0" w:color="000000"/>
              <w:left w:val="single" w:sz="8" w:space="0" w:color="000000"/>
              <w:bottom w:val="single" w:sz="8" w:space="0" w:color="000000"/>
              <w:right w:val="single" w:sz="8" w:space="0" w:color="000000"/>
            </w:tcBorders>
            <w:vAlign w:val="center"/>
            <w:hideMark/>
          </w:tcPr>
          <w:p w:rsidR="00D97CC7" w:rsidRPr="00277A18" w:rsidRDefault="00D97CC7">
            <w:pPr>
              <w:spacing w:line="360" w:lineRule="auto"/>
              <w:jc w:val="right"/>
              <w:rPr>
                <w:rFonts w:eastAsiaTheme="minorHAnsi"/>
                <w:b/>
                <w:color w:val="FF0000"/>
                <w:lang w:eastAsia="en-US"/>
              </w:rPr>
            </w:pPr>
            <w:r w:rsidRPr="00277A18">
              <w:rPr>
                <w:rFonts w:eastAsiaTheme="minorHAnsi"/>
                <w:b/>
                <w:color w:val="FF0000"/>
                <w:lang w:eastAsia="en-US"/>
              </w:rPr>
              <w:t>197.320.171,06</w:t>
            </w:r>
          </w:p>
        </w:tc>
      </w:tr>
    </w:tbl>
    <w:p w:rsidR="00D97CC7" w:rsidRDefault="00D97CC7" w:rsidP="00D97CC7">
      <w:pPr>
        <w:spacing w:line="360" w:lineRule="auto"/>
        <w:rPr>
          <w:b/>
        </w:rPr>
      </w:pPr>
    </w:p>
    <w:p w:rsidR="00AD0DFE" w:rsidRDefault="006A102F">
      <w:pPr>
        <w:tabs>
          <w:tab w:val="left" w:pos="709"/>
          <w:tab w:val="left" w:pos="851"/>
        </w:tabs>
        <w:spacing w:line="360" w:lineRule="auto"/>
        <w:jc w:val="both"/>
      </w:pPr>
      <w:r>
        <w:t xml:space="preserve">           </w:t>
      </w:r>
      <w:r w:rsidR="00FA42FE">
        <w:t xml:space="preserve">O Fundo Municipal de Saúde, em forma de regime estatutário e comissionado, com cargos criados e funções definidas em conformidade com a Lei Municipal de Plano de Cargos e Salários, durante o </w:t>
      </w:r>
      <w:r w:rsidR="004D0990">
        <w:t>3</w:t>
      </w:r>
      <w:r w:rsidR="00FA42FE">
        <w:t xml:space="preserve">º quadrimestre de 2020, a folha de pagamento do pessoal consumiu os recursos no valor total de </w:t>
      </w:r>
      <w:r w:rsidR="00FA42FE">
        <w:rPr>
          <w:b/>
        </w:rPr>
        <w:t xml:space="preserve">R$ </w:t>
      </w:r>
      <w:r w:rsidR="00FA42FE" w:rsidRPr="004D0990">
        <w:rPr>
          <w:b/>
          <w:color w:val="FF0000"/>
        </w:rPr>
        <w:t>1</w:t>
      </w:r>
      <w:r w:rsidR="003F1594" w:rsidRPr="004D0990">
        <w:rPr>
          <w:b/>
          <w:color w:val="FF0000"/>
        </w:rPr>
        <w:t>1</w:t>
      </w:r>
      <w:r w:rsidR="00FA42FE" w:rsidRPr="004D0990">
        <w:rPr>
          <w:b/>
          <w:color w:val="FF0000"/>
        </w:rPr>
        <w:t>.</w:t>
      </w:r>
      <w:r w:rsidR="003F1594" w:rsidRPr="004D0990">
        <w:rPr>
          <w:b/>
          <w:color w:val="FF0000"/>
        </w:rPr>
        <w:t>149</w:t>
      </w:r>
      <w:r w:rsidR="00FA42FE" w:rsidRPr="004D0990">
        <w:rPr>
          <w:b/>
          <w:color w:val="FF0000"/>
        </w:rPr>
        <w:t>.3</w:t>
      </w:r>
      <w:r w:rsidR="003F1594" w:rsidRPr="004D0990">
        <w:rPr>
          <w:b/>
          <w:color w:val="FF0000"/>
        </w:rPr>
        <w:t>22</w:t>
      </w:r>
      <w:r w:rsidR="00FA42FE" w:rsidRPr="004D0990">
        <w:rPr>
          <w:b/>
          <w:color w:val="FF0000"/>
        </w:rPr>
        <w:t>,</w:t>
      </w:r>
      <w:r w:rsidR="003F1594" w:rsidRPr="004D0990">
        <w:rPr>
          <w:b/>
          <w:color w:val="FF0000"/>
        </w:rPr>
        <w:t>0</w:t>
      </w:r>
      <w:r w:rsidR="00FA42FE" w:rsidRPr="004D0990">
        <w:rPr>
          <w:b/>
          <w:color w:val="FF0000"/>
        </w:rPr>
        <w:t>1</w:t>
      </w:r>
      <w:r w:rsidR="00FA42FE">
        <w:rPr>
          <w:b/>
        </w:rPr>
        <w:t xml:space="preserve">. </w:t>
      </w:r>
      <w:r w:rsidR="00FA42FE">
        <w:t xml:space="preserve">Neste </w:t>
      </w:r>
      <w:r w:rsidR="004D0990">
        <w:t>3</w:t>
      </w:r>
      <w:r w:rsidR="00FA42FE">
        <w:t xml:space="preserve">° quadrimestre foram contratados </w:t>
      </w:r>
      <w:r w:rsidR="00D061B8" w:rsidRPr="004D0990">
        <w:rPr>
          <w:b/>
          <w:color w:val="FF0000"/>
        </w:rPr>
        <w:t>166</w:t>
      </w:r>
      <w:r w:rsidR="004D0990">
        <w:t xml:space="preserve"> </w:t>
      </w:r>
      <w:r w:rsidR="00FA42FE">
        <w:t>funcionários temporários.</w:t>
      </w:r>
    </w:p>
    <w:p w:rsidR="00AD0DFE" w:rsidRDefault="00AD0DFE">
      <w:pPr>
        <w:spacing w:line="360" w:lineRule="auto"/>
        <w:rPr>
          <w:b/>
        </w:rPr>
      </w:pPr>
    </w:p>
    <w:p w:rsidR="00AD0DFE" w:rsidRDefault="00FA42FE">
      <w:pPr>
        <w:spacing w:line="360" w:lineRule="auto"/>
        <w:rPr>
          <w:b/>
        </w:rPr>
      </w:pPr>
      <w:r>
        <w:rPr>
          <w:b/>
        </w:rPr>
        <w:t>3 – Contribuições Previdenciárias:</w:t>
      </w:r>
    </w:p>
    <w:p w:rsidR="00AD0DFE" w:rsidRDefault="006A102F">
      <w:pPr>
        <w:pStyle w:val="PargrafodaLista"/>
        <w:tabs>
          <w:tab w:val="left" w:pos="709"/>
        </w:tabs>
        <w:spacing w:line="360" w:lineRule="auto"/>
        <w:ind w:left="0"/>
        <w:jc w:val="both"/>
        <w:rPr>
          <w:sz w:val="24"/>
          <w:szCs w:val="24"/>
        </w:rPr>
      </w:pPr>
      <w:r>
        <w:rPr>
          <w:sz w:val="24"/>
          <w:szCs w:val="24"/>
        </w:rPr>
        <w:t xml:space="preserve">           </w:t>
      </w:r>
      <w:r w:rsidR="00FA42FE">
        <w:rPr>
          <w:sz w:val="24"/>
          <w:szCs w:val="24"/>
        </w:rPr>
        <w:t xml:space="preserve">Foi pago no período de obrigações previdenciárias </w:t>
      </w:r>
      <w:r w:rsidR="00FA42FE">
        <w:rPr>
          <w:b/>
          <w:sz w:val="24"/>
          <w:szCs w:val="24"/>
        </w:rPr>
        <w:t xml:space="preserve">R$ </w:t>
      </w:r>
      <w:r w:rsidR="00FA42FE" w:rsidRPr="004D0990">
        <w:rPr>
          <w:b/>
          <w:color w:val="FF0000"/>
          <w:sz w:val="24"/>
          <w:szCs w:val="24"/>
        </w:rPr>
        <w:t>1.</w:t>
      </w:r>
      <w:r w:rsidR="003F1594" w:rsidRPr="004D0990">
        <w:rPr>
          <w:b/>
          <w:color w:val="FF0000"/>
          <w:sz w:val="24"/>
          <w:szCs w:val="24"/>
        </w:rPr>
        <w:t>901.930</w:t>
      </w:r>
      <w:r w:rsidR="00FA42FE" w:rsidRPr="004D0990">
        <w:rPr>
          <w:b/>
          <w:color w:val="FF0000"/>
          <w:sz w:val="24"/>
          <w:szCs w:val="24"/>
        </w:rPr>
        <w:t>,</w:t>
      </w:r>
      <w:r w:rsidR="003F1594" w:rsidRPr="004D0990">
        <w:rPr>
          <w:b/>
          <w:color w:val="FF0000"/>
          <w:sz w:val="24"/>
          <w:szCs w:val="24"/>
        </w:rPr>
        <w:t>7</w:t>
      </w:r>
      <w:r w:rsidR="00FA42FE" w:rsidRPr="004D0990">
        <w:rPr>
          <w:b/>
          <w:color w:val="FF0000"/>
          <w:sz w:val="24"/>
          <w:szCs w:val="24"/>
        </w:rPr>
        <w:t>9</w:t>
      </w:r>
      <w:r w:rsidR="00FA42FE" w:rsidRPr="003F1594">
        <w:rPr>
          <w:b/>
          <w:sz w:val="24"/>
          <w:szCs w:val="24"/>
        </w:rPr>
        <w:t>,</w:t>
      </w:r>
      <w:r w:rsidR="004D0990">
        <w:rPr>
          <w:b/>
          <w:sz w:val="24"/>
          <w:szCs w:val="24"/>
        </w:rPr>
        <w:t xml:space="preserve"> </w:t>
      </w:r>
      <w:r w:rsidR="00FA42FE">
        <w:rPr>
          <w:sz w:val="24"/>
          <w:szCs w:val="24"/>
        </w:rPr>
        <w:t xml:space="preserve">sendo </w:t>
      </w:r>
      <w:r w:rsidR="00FA42FE">
        <w:rPr>
          <w:b/>
          <w:sz w:val="24"/>
          <w:szCs w:val="24"/>
        </w:rPr>
        <w:t xml:space="preserve">R$ </w:t>
      </w:r>
      <w:r w:rsidR="00FA42FE" w:rsidRPr="004D0990">
        <w:rPr>
          <w:b/>
          <w:color w:val="FF0000"/>
          <w:sz w:val="24"/>
          <w:szCs w:val="24"/>
        </w:rPr>
        <w:t>5</w:t>
      </w:r>
      <w:r w:rsidR="003F1594" w:rsidRPr="004D0990">
        <w:rPr>
          <w:b/>
          <w:color w:val="FF0000"/>
          <w:sz w:val="24"/>
          <w:szCs w:val="24"/>
        </w:rPr>
        <w:t>87</w:t>
      </w:r>
      <w:r w:rsidR="00FA42FE" w:rsidRPr="004D0990">
        <w:rPr>
          <w:b/>
          <w:color w:val="FF0000"/>
          <w:sz w:val="24"/>
          <w:szCs w:val="24"/>
        </w:rPr>
        <w:t>.5</w:t>
      </w:r>
      <w:r w:rsidR="003F1594" w:rsidRPr="004D0990">
        <w:rPr>
          <w:b/>
          <w:color w:val="FF0000"/>
          <w:sz w:val="24"/>
          <w:szCs w:val="24"/>
        </w:rPr>
        <w:t>82</w:t>
      </w:r>
      <w:r w:rsidR="00FA42FE" w:rsidRPr="004D0990">
        <w:rPr>
          <w:b/>
          <w:color w:val="FF0000"/>
          <w:sz w:val="24"/>
          <w:szCs w:val="24"/>
        </w:rPr>
        <w:t>,</w:t>
      </w:r>
      <w:r w:rsidR="003F1594" w:rsidRPr="004D0990">
        <w:rPr>
          <w:b/>
          <w:color w:val="FF0000"/>
          <w:sz w:val="24"/>
          <w:szCs w:val="24"/>
        </w:rPr>
        <w:t>8</w:t>
      </w:r>
      <w:r w:rsidR="00FA42FE" w:rsidRPr="004D0990">
        <w:rPr>
          <w:b/>
          <w:color w:val="FF0000"/>
          <w:sz w:val="24"/>
          <w:szCs w:val="24"/>
        </w:rPr>
        <w:t>1</w:t>
      </w:r>
      <w:r w:rsidR="00FA42FE">
        <w:rPr>
          <w:sz w:val="24"/>
          <w:szCs w:val="24"/>
        </w:rPr>
        <w:t xml:space="preserve"> de INSS e </w:t>
      </w:r>
      <w:r w:rsidR="00FA42FE">
        <w:rPr>
          <w:b/>
          <w:sz w:val="24"/>
          <w:szCs w:val="24"/>
        </w:rPr>
        <w:t xml:space="preserve">R$ </w:t>
      </w:r>
      <w:r w:rsidR="00FA42FE" w:rsidRPr="004D0990">
        <w:rPr>
          <w:b/>
          <w:color w:val="FF0000"/>
          <w:sz w:val="24"/>
          <w:szCs w:val="24"/>
        </w:rPr>
        <w:t>1.</w:t>
      </w:r>
      <w:r w:rsidR="003F1594" w:rsidRPr="004D0990">
        <w:rPr>
          <w:b/>
          <w:color w:val="FF0000"/>
          <w:sz w:val="24"/>
          <w:szCs w:val="24"/>
        </w:rPr>
        <w:t>314</w:t>
      </w:r>
      <w:r w:rsidR="00FA42FE" w:rsidRPr="004D0990">
        <w:rPr>
          <w:b/>
          <w:color w:val="FF0000"/>
          <w:sz w:val="24"/>
          <w:szCs w:val="24"/>
        </w:rPr>
        <w:t>.</w:t>
      </w:r>
      <w:r w:rsidR="003F1594" w:rsidRPr="004D0990">
        <w:rPr>
          <w:b/>
          <w:color w:val="FF0000"/>
          <w:sz w:val="24"/>
          <w:szCs w:val="24"/>
        </w:rPr>
        <w:t>3</w:t>
      </w:r>
      <w:r w:rsidR="00FA42FE" w:rsidRPr="004D0990">
        <w:rPr>
          <w:b/>
          <w:color w:val="FF0000"/>
          <w:sz w:val="24"/>
          <w:szCs w:val="24"/>
        </w:rPr>
        <w:t>4</w:t>
      </w:r>
      <w:r w:rsidR="003F1594" w:rsidRPr="004D0990">
        <w:rPr>
          <w:b/>
          <w:color w:val="FF0000"/>
          <w:sz w:val="24"/>
          <w:szCs w:val="24"/>
        </w:rPr>
        <w:t>7</w:t>
      </w:r>
      <w:r w:rsidR="00FA42FE" w:rsidRPr="004D0990">
        <w:rPr>
          <w:b/>
          <w:color w:val="FF0000"/>
          <w:sz w:val="24"/>
          <w:szCs w:val="24"/>
        </w:rPr>
        <w:t>,</w:t>
      </w:r>
      <w:r w:rsidR="003F1594" w:rsidRPr="004D0990">
        <w:rPr>
          <w:b/>
          <w:color w:val="FF0000"/>
          <w:sz w:val="24"/>
          <w:szCs w:val="24"/>
        </w:rPr>
        <w:t>9</w:t>
      </w:r>
      <w:r w:rsidR="00FA42FE" w:rsidRPr="004D0990">
        <w:rPr>
          <w:b/>
          <w:color w:val="FF0000"/>
          <w:sz w:val="24"/>
          <w:szCs w:val="24"/>
        </w:rPr>
        <w:t>8</w:t>
      </w:r>
      <w:r w:rsidR="004D0990">
        <w:rPr>
          <w:b/>
          <w:sz w:val="24"/>
          <w:szCs w:val="24"/>
        </w:rPr>
        <w:t xml:space="preserve"> </w:t>
      </w:r>
      <w:r w:rsidR="00FA42FE">
        <w:rPr>
          <w:sz w:val="24"/>
          <w:szCs w:val="24"/>
        </w:rPr>
        <w:t>de IPMP correspondendo a as despesas com pessoal efetuando a correta apropriação (empenhamento) e Recolhimento das Obrigações Patronais.</w:t>
      </w:r>
    </w:p>
    <w:p w:rsidR="00AD0DFE" w:rsidRDefault="00AD0DFE">
      <w:pPr>
        <w:pStyle w:val="PargrafodaLista"/>
        <w:spacing w:line="360" w:lineRule="auto"/>
        <w:ind w:left="0"/>
        <w:jc w:val="both"/>
        <w:rPr>
          <w:sz w:val="24"/>
          <w:szCs w:val="24"/>
        </w:rPr>
      </w:pPr>
    </w:p>
    <w:p w:rsidR="00AD0DFE" w:rsidRDefault="00FA42FE">
      <w:pPr>
        <w:spacing w:line="360" w:lineRule="auto"/>
        <w:rPr>
          <w:b/>
        </w:rPr>
      </w:pPr>
      <w:r>
        <w:rPr>
          <w:b/>
        </w:rPr>
        <w:t>4 – Concessões de Diárias:</w:t>
      </w:r>
    </w:p>
    <w:p w:rsidR="00AD0DFE" w:rsidRDefault="006A102F">
      <w:pPr>
        <w:tabs>
          <w:tab w:val="left" w:pos="567"/>
          <w:tab w:val="left" w:pos="709"/>
          <w:tab w:val="left" w:pos="1134"/>
        </w:tabs>
        <w:spacing w:line="360" w:lineRule="auto"/>
        <w:jc w:val="both"/>
        <w:rPr>
          <w:color w:val="FF0000"/>
        </w:rPr>
      </w:pPr>
      <w:r>
        <w:t xml:space="preserve">           </w:t>
      </w:r>
      <w:r w:rsidR="00FA42FE">
        <w:t xml:space="preserve">Os processos de concessão de diárias para o pessoal civil do Fundo Municipal de Saúde foram todos realizados de acordo coma Lei Municipal nº 888/2015 e 905/2015 que regulamenta as concessões de diárias do Poder Executivo Municipal. No período o gasto com diárias do pessoal civil foi de </w:t>
      </w:r>
      <w:r w:rsidR="00FA42FE">
        <w:rPr>
          <w:b/>
        </w:rPr>
        <w:t xml:space="preserve">R$ </w:t>
      </w:r>
      <w:r w:rsidR="00EF2D1D" w:rsidRPr="004D0990">
        <w:rPr>
          <w:b/>
          <w:color w:val="FF0000"/>
        </w:rPr>
        <w:t>37.386,00</w:t>
      </w:r>
      <w:r w:rsidR="00FA42FE" w:rsidRPr="00BC1BF1">
        <w:rPr>
          <w:b/>
        </w:rPr>
        <w:t>.</w:t>
      </w:r>
    </w:p>
    <w:p w:rsidR="00AD0DFE" w:rsidRDefault="00AD0DFE">
      <w:pPr>
        <w:spacing w:line="360" w:lineRule="auto"/>
        <w:jc w:val="both"/>
      </w:pPr>
    </w:p>
    <w:p w:rsidR="00AD0DFE" w:rsidRDefault="00FA42FE">
      <w:pPr>
        <w:spacing w:line="360" w:lineRule="auto"/>
        <w:jc w:val="both"/>
        <w:rPr>
          <w:b/>
        </w:rPr>
      </w:pPr>
      <w:r>
        <w:rPr>
          <w:b/>
        </w:rPr>
        <w:lastRenderedPageBreak/>
        <w:t>5 – Patrimônio:</w:t>
      </w:r>
    </w:p>
    <w:p w:rsidR="00AD0DFE" w:rsidRDefault="006A102F">
      <w:pPr>
        <w:pStyle w:val="PargrafodaLista"/>
        <w:spacing w:line="360" w:lineRule="auto"/>
        <w:ind w:left="0"/>
        <w:jc w:val="both"/>
        <w:rPr>
          <w:sz w:val="24"/>
          <w:szCs w:val="24"/>
        </w:rPr>
      </w:pPr>
      <w:r>
        <w:rPr>
          <w:sz w:val="24"/>
          <w:szCs w:val="24"/>
        </w:rPr>
        <w:t xml:space="preserve">           </w:t>
      </w:r>
      <w:r w:rsidR="00FA42FE">
        <w:rPr>
          <w:sz w:val="24"/>
          <w:szCs w:val="24"/>
        </w:rPr>
        <w:t xml:space="preserve">No decurso do </w:t>
      </w:r>
      <w:r w:rsidR="004D0990">
        <w:rPr>
          <w:sz w:val="24"/>
          <w:szCs w:val="24"/>
        </w:rPr>
        <w:t>3</w:t>
      </w:r>
      <w:r w:rsidR="00FA42FE">
        <w:rPr>
          <w:sz w:val="24"/>
          <w:szCs w:val="24"/>
        </w:rPr>
        <w:t xml:space="preserve">º quadrimestre de 2020 foram adquiridos bens móveis e/ou imóveis no montante de </w:t>
      </w:r>
      <w:r w:rsidR="00FA42FE">
        <w:rPr>
          <w:b/>
          <w:sz w:val="24"/>
          <w:szCs w:val="24"/>
        </w:rPr>
        <w:t xml:space="preserve">R$ </w:t>
      </w:r>
      <w:r w:rsidR="00CE6997" w:rsidRPr="004D0990">
        <w:rPr>
          <w:b/>
          <w:color w:val="FF0000"/>
          <w:sz w:val="24"/>
          <w:szCs w:val="24"/>
        </w:rPr>
        <w:t>299.062,89</w:t>
      </w:r>
      <w:r w:rsidR="00FA42FE">
        <w:rPr>
          <w:sz w:val="24"/>
          <w:szCs w:val="24"/>
        </w:rPr>
        <w:t>.</w:t>
      </w:r>
      <w:r w:rsidR="004D0990">
        <w:rPr>
          <w:sz w:val="24"/>
          <w:szCs w:val="24"/>
        </w:rPr>
        <w:t xml:space="preserve"> </w:t>
      </w:r>
      <w:r w:rsidR="00FA42FE">
        <w:rPr>
          <w:sz w:val="24"/>
          <w:szCs w:val="24"/>
        </w:rPr>
        <w:t>A conferência de bens foi realizada, entretanto constatamos a ausência física quanto à existência em datas anteriores, quando recomendamos a regularização.</w:t>
      </w:r>
    </w:p>
    <w:p w:rsidR="00AD0DFE" w:rsidRDefault="00AD0DFE">
      <w:pPr>
        <w:pStyle w:val="PargrafodaLista"/>
        <w:spacing w:line="360" w:lineRule="auto"/>
        <w:ind w:left="0"/>
        <w:jc w:val="both"/>
        <w:rPr>
          <w:b/>
          <w:sz w:val="24"/>
          <w:szCs w:val="24"/>
        </w:rPr>
      </w:pPr>
    </w:p>
    <w:p w:rsidR="00AD0DFE" w:rsidRDefault="00FA42FE">
      <w:pPr>
        <w:pStyle w:val="PargrafodaLista"/>
        <w:spacing w:line="360" w:lineRule="auto"/>
        <w:ind w:left="0"/>
        <w:jc w:val="both"/>
        <w:rPr>
          <w:b/>
          <w:sz w:val="24"/>
          <w:szCs w:val="24"/>
        </w:rPr>
      </w:pPr>
      <w:r>
        <w:rPr>
          <w:b/>
          <w:sz w:val="24"/>
          <w:szCs w:val="24"/>
        </w:rPr>
        <w:t>6 – Restos a Pagar</w:t>
      </w:r>
    </w:p>
    <w:p w:rsidR="00AD0DFE" w:rsidRDefault="006A102F">
      <w:pPr>
        <w:pStyle w:val="PargrafodaLista"/>
        <w:spacing w:line="360" w:lineRule="auto"/>
        <w:ind w:left="0"/>
        <w:jc w:val="both"/>
        <w:rPr>
          <w:color w:val="000000" w:themeColor="text1"/>
          <w:sz w:val="24"/>
          <w:szCs w:val="24"/>
        </w:rPr>
      </w:pPr>
      <w:r>
        <w:rPr>
          <w:color w:val="000000" w:themeColor="text1"/>
          <w:sz w:val="24"/>
          <w:szCs w:val="24"/>
        </w:rPr>
        <w:t xml:space="preserve">           </w:t>
      </w:r>
      <w:r w:rsidR="00FA42FE">
        <w:rPr>
          <w:color w:val="000000" w:themeColor="text1"/>
          <w:sz w:val="24"/>
          <w:szCs w:val="24"/>
        </w:rPr>
        <w:t xml:space="preserve">Ao final do </w:t>
      </w:r>
      <w:r w:rsidR="004D0990">
        <w:rPr>
          <w:color w:val="000000" w:themeColor="text1"/>
          <w:sz w:val="24"/>
          <w:szCs w:val="24"/>
        </w:rPr>
        <w:t>3</w:t>
      </w:r>
      <w:r w:rsidR="00FA42FE">
        <w:rPr>
          <w:color w:val="000000" w:themeColor="text1"/>
          <w:sz w:val="24"/>
          <w:szCs w:val="24"/>
        </w:rPr>
        <w:t xml:space="preserve">º quadrimestre de 2020, o Fundo Municipal de Saúde processou e pagou o valor de </w:t>
      </w:r>
      <w:r w:rsidR="00FA42FE">
        <w:rPr>
          <w:b/>
          <w:color w:val="000000" w:themeColor="text1"/>
          <w:sz w:val="24"/>
          <w:szCs w:val="24"/>
        </w:rPr>
        <w:t xml:space="preserve">R$ </w:t>
      </w:r>
      <w:r w:rsidR="00875940" w:rsidRPr="004D0990">
        <w:rPr>
          <w:b/>
          <w:color w:val="FF0000"/>
          <w:sz w:val="24"/>
          <w:szCs w:val="24"/>
        </w:rPr>
        <w:t>7.252.531,86</w:t>
      </w:r>
      <w:r w:rsidR="004D0990">
        <w:rPr>
          <w:b/>
          <w:color w:val="000000" w:themeColor="text1"/>
          <w:sz w:val="24"/>
          <w:szCs w:val="24"/>
        </w:rPr>
        <w:t xml:space="preserve"> </w:t>
      </w:r>
      <w:r w:rsidR="00FA42FE">
        <w:rPr>
          <w:color w:val="000000" w:themeColor="text1"/>
          <w:sz w:val="24"/>
          <w:szCs w:val="24"/>
        </w:rPr>
        <w:t xml:space="preserve">em restos, permanecendo o valor de </w:t>
      </w:r>
      <w:r w:rsidR="00FA42FE">
        <w:rPr>
          <w:b/>
          <w:sz w:val="24"/>
          <w:szCs w:val="24"/>
        </w:rPr>
        <w:t>R$</w:t>
      </w:r>
      <w:r w:rsidR="004D0990">
        <w:rPr>
          <w:b/>
          <w:sz w:val="24"/>
          <w:szCs w:val="24"/>
        </w:rPr>
        <w:t xml:space="preserve"> </w:t>
      </w:r>
      <w:r w:rsidR="00FA42FE" w:rsidRPr="004D0990">
        <w:rPr>
          <w:b/>
          <w:color w:val="FF0000"/>
          <w:sz w:val="24"/>
          <w:szCs w:val="24"/>
        </w:rPr>
        <w:t>90.136,66</w:t>
      </w:r>
      <w:r w:rsidR="004D0990">
        <w:rPr>
          <w:b/>
          <w:sz w:val="24"/>
          <w:szCs w:val="24"/>
        </w:rPr>
        <w:t xml:space="preserve"> </w:t>
      </w:r>
      <w:r w:rsidR="00FA42FE">
        <w:rPr>
          <w:color w:val="000000" w:themeColor="text1"/>
          <w:sz w:val="24"/>
          <w:szCs w:val="24"/>
        </w:rPr>
        <w:t xml:space="preserve">a pagar processados. Em restos a pagar não processados </w:t>
      </w:r>
      <w:r w:rsidR="00FA42FE">
        <w:rPr>
          <w:b/>
          <w:color w:val="000000" w:themeColor="text1"/>
          <w:sz w:val="24"/>
          <w:szCs w:val="24"/>
        </w:rPr>
        <w:t xml:space="preserve">R$ </w:t>
      </w:r>
      <w:r w:rsidR="00FA42FE" w:rsidRPr="004D0990">
        <w:rPr>
          <w:b/>
          <w:color w:val="FF0000"/>
          <w:sz w:val="24"/>
          <w:szCs w:val="24"/>
        </w:rPr>
        <w:t>4.4</w:t>
      </w:r>
      <w:r w:rsidR="00875940" w:rsidRPr="004D0990">
        <w:rPr>
          <w:b/>
          <w:color w:val="FF0000"/>
          <w:sz w:val="24"/>
          <w:szCs w:val="24"/>
        </w:rPr>
        <w:t>73</w:t>
      </w:r>
      <w:r w:rsidR="00FA42FE" w:rsidRPr="004D0990">
        <w:rPr>
          <w:b/>
          <w:color w:val="FF0000"/>
          <w:sz w:val="24"/>
          <w:szCs w:val="24"/>
        </w:rPr>
        <w:t>.</w:t>
      </w:r>
      <w:r w:rsidR="00875940" w:rsidRPr="004D0990">
        <w:rPr>
          <w:b/>
          <w:color w:val="FF0000"/>
          <w:sz w:val="24"/>
          <w:szCs w:val="24"/>
        </w:rPr>
        <w:t>096,</w:t>
      </w:r>
      <w:r w:rsidR="00FA42FE" w:rsidRPr="004D0990">
        <w:rPr>
          <w:b/>
          <w:color w:val="FF0000"/>
          <w:sz w:val="24"/>
          <w:szCs w:val="24"/>
        </w:rPr>
        <w:t>1</w:t>
      </w:r>
      <w:r w:rsidR="00875940" w:rsidRPr="004D0990">
        <w:rPr>
          <w:b/>
          <w:color w:val="FF0000"/>
          <w:sz w:val="24"/>
          <w:szCs w:val="24"/>
        </w:rPr>
        <w:t>8</w:t>
      </w:r>
      <w:r w:rsidR="00FA42FE">
        <w:rPr>
          <w:color w:val="000000" w:themeColor="text1"/>
          <w:sz w:val="24"/>
          <w:szCs w:val="24"/>
        </w:rPr>
        <w:t xml:space="preserve">. Cancelou em restos processados e não processados até o </w:t>
      </w:r>
      <w:r w:rsidR="004D0990">
        <w:rPr>
          <w:color w:val="000000" w:themeColor="text1"/>
          <w:sz w:val="24"/>
          <w:szCs w:val="24"/>
        </w:rPr>
        <w:t>3</w:t>
      </w:r>
      <w:r w:rsidR="00FA42FE">
        <w:rPr>
          <w:color w:val="000000" w:themeColor="text1"/>
          <w:sz w:val="24"/>
          <w:szCs w:val="24"/>
        </w:rPr>
        <w:t xml:space="preserve">° quadrimestre </w:t>
      </w:r>
      <w:r w:rsidR="00FA42FE">
        <w:rPr>
          <w:b/>
          <w:color w:val="000000" w:themeColor="text1"/>
          <w:sz w:val="24"/>
          <w:szCs w:val="24"/>
        </w:rPr>
        <w:t xml:space="preserve">R$ </w:t>
      </w:r>
      <w:r w:rsidR="00FA42FE" w:rsidRPr="004D0990">
        <w:rPr>
          <w:b/>
          <w:color w:val="FF0000"/>
          <w:sz w:val="24"/>
          <w:szCs w:val="24"/>
        </w:rPr>
        <w:t>1.772,10</w:t>
      </w:r>
      <w:r w:rsidR="00FA42FE">
        <w:rPr>
          <w:color w:val="000000" w:themeColor="text1"/>
          <w:sz w:val="24"/>
          <w:szCs w:val="24"/>
        </w:rPr>
        <w:t xml:space="preserve">. Apresenta em depósitos bancários o valor de </w:t>
      </w:r>
      <w:r w:rsidR="00FA42FE">
        <w:rPr>
          <w:b/>
          <w:color w:val="000000" w:themeColor="text1"/>
          <w:sz w:val="24"/>
          <w:szCs w:val="24"/>
        </w:rPr>
        <w:t xml:space="preserve">R$ </w:t>
      </w:r>
      <w:r w:rsidR="0004279D" w:rsidRPr="004D0990">
        <w:rPr>
          <w:b/>
          <w:color w:val="FF0000"/>
          <w:sz w:val="24"/>
          <w:szCs w:val="24"/>
        </w:rPr>
        <w:t>7.114.644,78</w:t>
      </w:r>
      <w:r w:rsidR="00FA42FE">
        <w:rPr>
          <w:b/>
          <w:color w:val="000000" w:themeColor="text1"/>
          <w:sz w:val="24"/>
          <w:szCs w:val="24"/>
        </w:rPr>
        <w:t>.</w:t>
      </w:r>
    </w:p>
    <w:p w:rsidR="00AD0DFE" w:rsidRDefault="00AD0DFE">
      <w:pPr>
        <w:spacing w:line="360" w:lineRule="auto"/>
        <w:jc w:val="both"/>
        <w:rPr>
          <w:b/>
        </w:rPr>
      </w:pPr>
    </w:p>
    <w:p w:rsidR="00AD0DFE" w:rsidRDefault="00FA42FE">
      <w:pPr>
        <w:spacing w:line="360" w:lineRule="auto"/>
        <w:jc w:val="both"/>
        <w:rPr>
          <w:b/>
        </w:rPr>
      </w:pPr>
      <w:r>
        <w:rPr>
          <w:b/>
        </w:rPr>
        <w:t>7 – Aplicação de Recursos em Saúde:</w:t>
      </w:r>
    </w:p>
    <w:p w:rsidR="001B420A" w:rsidRDefault="001B420A" w:rsidP="001B420A">
      <w:pPr>
        <w:spacing w:line="360" w:lineRule="auto"/>
        <w:rPr>
          <w:rFonts w:eastAsiaTheme="minorHAnsi"/>
          <w:b/>
          <w:bCs/>
          <w:smallCaps/>
          <w:color w:val="000000"/>
          <w:lang w:eastAsia="en-US"/>
        </w:rPr>
      </w:pPr>
      <w:r>
        <w:rPr>
          <w:rFonts w:eastAsiaTheme="minorHAnsi"/>
          <w:b/>
          <w:bCs/>
          <w:smallCaps/>
          <w:color w:val="000000"/>
          <w:lang w:eastAsia="en-US"/>
        </w:rPr>
        <w:t>Do Cumprimento da Emenda Constitucional nº 29/2000</w:t>
      </w:r>
    </w:p>
    <w:tbl>
      <w:tblPr>
        <w:tblW w:w="8419" w:type="dxa"/>
        <w:jc w:val="center"/>
        <w:tblCellMar>
          <w:left w:w="10" w:type="dxa"/>
          <w:right w:w="2" w:type="dxa"/>
        </w:tblCellMar>
        <w:tblLook w:val="04A0" w:firstRow="1" w:lastRow="0" w:firstColumn="1" w:lastColumn="0" w:noHBand="0" w:noVBand="1"/>
      </w:tblPr>
      <w:tblGrid>
        <w:gridCol w:w="6498"/>
        <w:gridCol w:w="1921"/>
      </w:tblGrid>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Total dos Impostos Arrecadados e Transferidos</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rFonts w:eastAsiaTheme="minorHAnsi"/>
                <w:color w:val="FF0000"/>
                <w:lang w:eastAsia="en-US"/>
              </w:rPr>
            </w:pPr>
            <w:r w:rsidRPr="004D0990">
              <w:rPr>
                <w:rFonts w:eastAsiaTheme="minorHAnsi"/>
                <w:color w:val="FF0000"/>
                <w:lang w:eastAsia="en-US"/>
              </w:rPr>
              <w:t>90.497.806,38</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Valor Aplicado em Saúde pelo FMS</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color w:val="FF0000"/>
                <w:lang w:eastAsia="en-US"/>
              </w:rPr>
            </w:pPr>
            <w:r w:rsidRPr="004D0990">
              <w:rPr>
                <w:rFonts w:eastAsiaTheme="minorHAnsi"/>
                <w:color w:val="FF0000"/>
                <w:lang w:eastAsia="en-US"/>
              </w:rPr>
              <w:t>44.973.305,33</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 xml:space="preserve">(-) Transferências Estaduais / Federais para a Saúde </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rFonts w:eastAsiaTheme="minorHAnsi"/>
                <w:color w:val="FF0000"/>
                <w:lang w:eastAsia="en-US"/>
              </w:rPr>
            </w:pPr>
            <w:r w:rsidRPr="004D0990">
              <w:rPr>
                <w:rFonts w:eastAsiaTheme="minorHAnsi"/>
                <w:color w:val="FF0000"/>
                <w:lang w:eastAsia="en-US"/>
              </w:rPr>
              <w:t>0,00</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 Transferências de Programas do SUS</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color w:val="FF0000"/>
                <w:lang w:eastAsia="en-US"/>
              </w:rPr>
            </w:pPr>
            <w:r w:rsidRPr="004D0990">
              <w:rPr>
                <w:rFonts w:eastAsiaTheme="minorHAnsi"/>
                <w:color w:val="FF0000"/>
                <w:lang w:eastAsia="en-US"/>
              </w:rPr>
              <w:t>15.318.218,03</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 Restos a Pagar sem Disponibilidade Financeira</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rFonts w:eastAsiaTheme="minorHAnsi"/>
                <w:color w:val="FF0000"/>
                <w:lang w:eastAsia="en-US"/>
              </w:rPr>
            </w:pPr>
            <w:r w:rsidRPr="004D0990">
              <w:rPr>
                <w:rFonts w:eastAsiaTheme="minorHAnsi"/>
                <w:color w:val="FF0000"/>
                <w:lang w:eastAsia="en-US"/>
              </w:rPr>
              <w:t>0,00</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 Valor Líquido Aplicado em Saúde</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color w:val="FF0000"/>
                <w:lang w:eastAsia="en-US"/>
              </w:rPr>
            </w:pPr>
            <w:r w:rsidRPr="004D0990">
              <w:rPr>
                <w:rFonts w:eastAsiaTheme="minorHAnsi"/>
                <w:color w:val="FF0000"/>
                <w:lang w:eastAsia="en-US"/>
              </w:rPr>
              <w:t>29.655.087,30</w:t>
            </w:r>
          </w:p>
        </w:tc>
      </w:tr>
      <w:tr w:rsidR="001B420A" w:rsidTr="001B420A">
        <w:trPr>
          <w:trHeight w:val="309"/>
          <w:jc w:val="center"/>
        </w:trPr>
        <w:tc>
          <w:tcPr>
            <w:tcW w:w="6497" w:type="dxa"/>
            <w:tcBorders>
              <w:top w:val="single" w:sz="8" w:space="0" w:color="000000"/>
              <w:left w:val="single" w:sz="8" w:space="0" w:color="000000"/>
              <w:bottom w:val="single" w:sz="8" w:space="0" w:color="000000"/>
              <w:right w:val="single" w:sz="2" w:space="0" w:color="000000"/>
            </w:tcBorders>
            <w:vAlign w:val="center"/>
            <w:hideMark/>
          </w:tcPr>
          <w:p w:rsidR="001B420A" w:rsidRDefault="001B420A">
            <w:pPr>
              <w:spacing w:before="57" w:after="57" w:line="360" w:lineRule="auto"/>
              <w:ind w:left="-3" w:right="-81"/>
              <w:jc w:val="both"/>
              <w:rPr>
                <w:rFonts w:eastAsiaTheme="minorHAnsi"/>
                <w:b/>
                <w:bCs/>
                <w:smallCaps/>
                <w:lang w:eastAsia="en-US"/>
              </w:rPr>
            </w:pPr>
            <w:r>
              <w:rPr>
                <w:rFonts w:eastAsiaTheme="minorHAnsi"/>
                <w:b/>
                <w:bCs/>
                <w:smallCaps/>
                <w:lang w:eastAsia="en-US"/>
              </w:rPr>
              <w:t>= Percentual Aplicado em Saúde (%)</w:t>
            </w:r>
          </w:p>
        </w:tc>
        <w:tc>
          <w:tcPr>
            <w:tcW w:w="1921" w:type="dxa"/>
            <w:tcBorders>
              <w:top w:val="single" w:sz="8" w:space="0" w:color="000000"/>
              <w:left w:val="single" w:sz="8" w:space="0" w:color="000000"/>
              <w:bottom w:val="single" w:sz="8" w:space="0" w:color="000000"/>
              <w:right w:val="single" w:sz="8" w:space="0" w:color="000000"/>
            </w:tcBorders>
            <w:vAlign w:val="center"/>
            <w:hideMark/>
          </w:tcPr>
          <w:p w:rsidR="001B420A" w:rsidRPr="004D0990" w:rsidRDefault="001B420A">
            <w:pPr>
              <w:spacing w:before="57" w:after="57" w:line="360" w:lineRule="auto"/>
              <w:ind w:left="-59" w:right="-3"/>
              <w:jc w:val="right"/>
              <w:rPr>
                <w:color w:val="FF0000"/>
                <w:lang w:eastAsia="en-US"/>
              </w:rPr>
            </w:pPr>
            <w:r w:rsidRPr="004D0990">
              <w:rPr>
                <w:rFonts w:eastAsiaTheme="minorHAnsi"/>
                <w:b/>
                <w:color w:val="FF0000"/>
                <w:lang w:eastAsia="en-US"/>
              </w:rPr>
              <w:t>32,77%</w:t>
            </w:r>
          </w:p>
        </w:tc>
      </w:tr>
    </w:tbl>
    <w:p w:rsidR="001B420A" w:rsidRDefault="001B420A">
      <w:pPr>
        <w:spacing w:line="360" w:lineRule="auto"/>
        <w:jc w:val="both"/>
        <w:rPr>
          <w:b/>
        </w:rPr>
      </w:pPr>
    </w:p>
    <w:tbl>
      <w:tblPr>
        <w:tblW w:w="8422" w:type="dxa"/>
        <w:jc w:val="center"/>
        <w:tblCellMar>
          <w:left w:w="28" w:type="dxa"/>
          <w:right w:w="28" w:type="dxa"/>
        </w:tblCellMar>
        <w:tblLook w:val="04A0" w:firstRow="1" w:lastRow="0" w:firstColumn="1" w:lastColumn="0" w:noHBand="0" w:noVBand="1"/>
      </w:tblPr>
      <w:tblGrid>
        <w:gridCol w:w="6763"/>
        <w:gridCol w:w="1659"/>
      </w:tblGrid>
      <w:tr w:rsidR="00EA30B0" w:rsidTr="00EA30B0">
        <w:trPr>
          <w:trHeight w:val="277"/>
          <w:jc w:val="center"/>
        </w:trPr>
        <w:tc>
          <w:tcPr>
            <w:tcW w:w="6762" w:type="dxa"/>
            <w:tcBorders>
              <w:top w:val="single" w:sz="8" w:space="0" w:color="000000"/>
              <w:left w:val="single" w:sz="8" w:space="0" w:color="000000"/>
              <w:bottom w:val="single" w:sz="8" w:space="0" w:color="000000"/>
              <w:right w:val="single" w:sz="2" w:space="0" w:color="000000"/>
            </w:tcBorders>
            <w:shd w:val="clear" w:color="auto" w:fill="FFFFCC"/>
            <w:vAlign w:val="center"/>
            <w:hideMark/>
          </w:tcPr>
          <w:p w:rsidR="00EA30B0" w:rsidRDefault="00EA30B0">
            <w:pPr>
              <w:tabs>
                <w:tab w:val="left" w:pos="685"/>
              </w:tabs>
              <w:spacing w:line="276" w:lineRule="auto"/>
              <w:jc w:val="center"/>
              <w:rPr>
                <w:rFonts w:eastAsiaTheme="minorHAnsi"/>
                <w:lang w:eastAsia="en-US"/>
              </w:rPr>
            </w:pPr>
            <w:r>
              <w:rPr>
                <w:rFonts w:eastAsiaTheme="minorHAnsi"/>
                <w:b/>
                <w:bCs/>
                <w:smallCaps/>
                <w:lang w:eastAsia="en-US"/>
              </w:rPr>
              <w:t>Impostos Arrecadados e Transferidos</w:t>
            </w:r>
          </w:p>
        </w:tc>
        <w:tc>
          <w:tcPr>
            <w:tcW w:w="1659" w:type="dxa"/>
            <w:tcBorders>
              <w:top w:val="single" w:sz="8" w:space="0" w:color="000000"/>
              <w:left w:val="single" w:sz="8" w:space="0" w:color="000000"/>
              <w:bottom w:val="single" w:sz="8" w:space="0" w:color="000000"/>
              <w:right w:val="single" w:sz="8" w:space="0" w:color="000000"/>
            </w:tcBorders>
            <w:shd w:val="clear" w:color="auto" w:fill="FFFFCC"/>
            <w:vAlign w:val="center"/>
            <w:hideMark/>
          </w:tcPr>
          <w:p w:rsidR="00EA30B0" w:rsidRDefault="00EA30B0">
            <w:pPr>
              <w:tabs>
                <w:tab w:val="left" w:pos="685"/>
              </w:tabs>
              <w:spacing w:line="276" w:lineRule="auto"/>
              <w:jc w:val="center"/>
              <w:rPr>
                <w:rFonts w:eastAsiaTheme="minorHAnsi"/>
                <w:lang w:eastAsia="en-US"/>
              </w:rPr>
            </w:pPr>
            <w:r>
              <w:rPr>
                <w:rFonts w:eastAsiaTheme="minorHAnsi"/>
                <w:b/>
                <w:bCs/>
                <w:smallCaps/>
                <w:lang w:eastAsia="en-US"/>
              </w:rPr>
              <w:t xml:space="preserve">Valores R$ </w:t>
            </w:r>
          </w:p>
        </w:tc>
      </w:tr>
      <w:tr w:rsidR="00EA30B0" w:rsidTr="00EA30B0">
        <w:trPr>
          <w:trHeight w:val="26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 xml:space="preserve">FPM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23.825.932,48</w:t>
            </w:r>
          </w:p>
        </w:tc>
      </w:tr>
      <w:tr w:rsidR="00EA30B0" w:rsidTr="00EA30B0">
        <w:trPr>
          <w:trHeight w:val="25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 xml:space="preserve">ICMS Desoneração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0,00</w:t>
            </w:r>
          </w:p>
        </w:tc>
      </w:tr>
      <w:tr w:rsidR="00EA30B0" w:rsidTr="00EA30B0">
        <w:trPr>
          <w:trHeight w:val="260"/>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 xml:space="preserve">ICMS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43.087.198,93</w:t>
            </w:r>
          </w:p>
        </w:tc>
      </w:tr>
      <w:tr w:rsidR="00EA30B0" w:rsidTr="00EA30B0">
        <w:trPr>
          <w:trHeight w:val="279"/>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 xml:space="preserve">IPI 100%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984.493,93</w:t>
            </w:r>
          </w:p>
        </w:tc>
      </w:tr>
      <w:tr w:rsidR="00EA30B0" w:rsidTr="00EA30B0">
        <w:trPr>
          <w:trHeight w:val="256"/>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IPVA</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5.573.742,60</w:t>
            </w:r>
          </w:p>
        </w:tc>
      </w:tr>
      <w:tr w:rsidR="00EA30B0" w:rsidTr="00EA30B0">
        <w:trPr>
          <w:trHeight w:val="259"/>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ITR</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104.785,38</w:t>
            </w:r>
          </w:p>
        </w:tc>
      </w:tr>
      <w:tr w:rsidR="00EA30B0" w:rsidTr="00EA30B0">
        <w:trPr>
          <w:trHeight w:val="263"/>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IPTU</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1.908.696,31</w:t>
            </w:r>
          </w:p>
        </w:tc>
      </w:tr>
      <w:tr w:rsidR="00EA30B0" w:rsidTr="00EA30B0">
        <w:trPr>
          <w:trHeight w:val="267"/>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ISSQN</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10.671.221,72</w:t>
            </w:r>
          </w:p>
        </w:tc>
      </w:tr>
      <w:tr w:rsidR="00EA30B0" w:rsidTr="00EA30B0">
        <w:trPr>
          <w:trHeight w:val="27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IRRF</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2.911.006,92</w:t>
            </w:r>
          </w:p>
        </w:tc>
      </w:tr>
      <w:tr w:rsidR="00EA30B0" w:rsidTr="00EA30B0">
        <w:trPr>
          <w:trHeight w:val="26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lastRenderedPageBreak/>
              <w:t>ITBI</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1.430.728,11</w:t>
            </w:r>
          </w:p>
        </w:tc>
      </w:tr>
      <w:tr w:rsidR="00EA30B0" w:rsidTr="00EA30B0">
        <w:trPr>
          <w:trHeight w:val="251"/>
          <w:jc w:val="center"/>
        </w:trPr>
        <w:tc>
          <w:tcPr>
            <w:tcW w:w="6762" w:type="dxa"/>
            <w:tcBorders>
              <w:top w:val="single" w:sz="2" w:space="0" w:color="000000"/>
              <w:left w:val="single" w:sz="8" w:space="0" w:color="000000"/>
              <w:bottom w:val="single" w:sz="8" w:space="0" w:color="000000"/>
              <w:right w:val="single" w:sz="2" w:space="0" w:color="000000"/>
            </w:tcBorders>
            <w:vAlign w:val="center"/>
            <w:hideMark/>
          </w:tcPr>
          <w:p w:rsidR="00EA30B0" w:rsidRDefault="00EA30B0">
            <w:pPr>
              <w:tabs>
                <w:tab w:val="left" w:pos="685"/>
              </w:tabs>
              <w:spacing w:line="276" w:lineRule="auto"/>
              <w:rPr>
                <w:rFonts w:eastAsiaTheme="minorHAnsi"/>
                <w:lang w:eastAsia="en-US"/>
              </w:rPr>
            </w:pPr>
            <w:r>
              <w:rPr>
                <w:rFonts w:eastAsiaTheme="minorHAnsi"/>
                <w:smallCaps/>
                <w:lang w:eastAsia="en-US"/>
              </w:rPr>
              <w:t xml:space="preserve">Dívida Ativa de Impostos </w:t>
            </w:r>
          </w:p>
        </w:tc>
        <w:tc>
          <w:tcPr>
            <w:tcW w:w="1659" w:type="dxa"/>
            <w:tcBorders>
              <w:top w:val="single" w:sz="2" w:space="0" w:color="000000"/>
              <w:left w:val="single" w:sz="8" w:space="0" w:color="000000"/>
              <w:bottom w:val="single" w:sz="8" w:space="0" w:color="000000"/>
              <w:right w:val="single" w:sz="8" w:space="0" w:color="000000"/>
            </w:tcBorders>
            <w:vAlign w:val="center"/>
            <w:hideMark/>
          </w:tcPr>
          <w:p w:rsidR="00EA30B0" w:rsidRPr="004D0990" w:rsidRDefault="00EA30B0">
            <w:pPr>
              <w:tabs>
                <w:tab w:val="left" w:pos="685"/>
              </w:tabs>
              <w:spacing w:line="276" w:lineRule="auto"/>
              <w:jc w:val="right"/>
              <w:rPr>
                <w:rFonts w:eastAsiaTheme="minorHAnsi"/>
                <w:color w:val="FF0000"/>
                <w:lang w:eastAsia="en-US"/>
              </w:rPr>
            </w:pPr>
            <w:r w:rsidRPr="004D0990">
              <w:rPr>
                <w:rFonts w:eastAsiaTheme="minorHAnsi"/>
                <w:color w:val="FF0000"/>
                <w:lang w:eastAsia="en-US"/>
              </w:rPr>
              <w:t>0,00</w:t>
            </w:r>
          </w:p>
        </w:tc>
      </w:tr>
      <w:tr w:rsidR="00EA30B0" w:rsidTr="00EA30B0">
        <w:trPr>
          <w:trHeight w:val="269"/>
          <w:jc w:val="center"/>
        </w:trPr>
        <w:tc>
          <w:tcPr>
            <w:tcW w:w="6762" w:type="dxa"/>
            <w:tcBorders>
              <w:top w:val="single" w:sz="2" w:space="0" w:color="000000"/>
              <w:left w:val="single" w:sz="8" w:space="0" w:color="000000"/>
              <w:bottom w:val="single" w:sz="8" w:space="0" w:color="000000"/>
              <w:right w:val="single" w:sz="2" w:space="0" w:color="000000"/>
            </w:tcBorders>
            <w:shd w:val="clear" w:color="auto" w:fill="FFFFCC"/>
            <w:vAlign w:val="center"/>
            <w:hideMark/>
          </w:tcPr>
          <w:p w:rsidR="00EA30B0" w:rsidRDefault="00EA30B0">
            <w:pPr>
              <w:tabs>
                <w:tab w:val="left" w:pos="685"/>
              </w:tabs>
              <w:spacing w:line="276" w:lineRule="auto"/>
              <w:rPr>
                <w:rFonts w:eastAsiaTheme="minorHAnsi"/>
                <w:lang w:eastAsia="en-US"/>
              </w:rPr>
            </w:pPr>
            <w:r>
              <w:rPr>
                <w:rFonts w:eastAsiaTheme="minorHAnsi"/>
                <w:b/>
                <w:bCs/>
                <w:smallCaps/>
                <w:lang w:eastAsia="en-US"/>
              </w:rPr>
              <w:t xml:space="preserve">Total dos Impostos Arrecadados e Transferidos </w:t>
            </w:r>
          </w:p>
        </w:tc>
        <w:tc>
          <w:tcPr>
            <w:tcW w:w="1659" w:type="dxa"/>
            <w:tcBorders>
              <w:top w:val="single" w:sz="2" w:space="0" w:color="000000"/>
              <w:left w:val="single" w:sz="8" w:space="0" w:color="000000"/>
              <w:bottom w:val="single" w:sz="8" w:space="0" w:color="000000"/>
              <w:right w:val="single" w:sz="8" w:space="0" w:color="000000"/>
            </w:tcBorders>
            <w:shd w:val="clear" w:color="auto" w:fill="FFFFCC"/>
            <w:vAlign w:val="center"/>
            <w:hideMark/>
          </w:tcPr>
          <w:p w:rsidR="00EA30B0" w:rsidRPr="004D0990" w:rsidRDefault="00EA30B0">
            <w:pPr>
              <w:tabs>
                <w:tab w:val="left" w:pos="685"/>
              </w:tabs>
              <w:spacing w:line="276" w:lineRule="auto"/>
              <w:jc w:val="right"/>
              <w:rPr>
                <w:rFonts w:eastAsiaTheme="minorHAnsi"/>
                <w:b/>
                <w:color w:val="FF0000"/>
                <w:lang w:eastAsia="en-US"/>
              </w:rPr>
            </w:pPr>
            <w:r w:rsidRPr="004D0990">
              <w:rPr>
                <w:rFonts w:eastAsiaTheme="minorHAnsi"/>
                <w:b/>
                <w:color w:val="FF0000"/>
                <w:lang w:eastAsia="en-US"/>
              </w:rPr>
              <w:t>90.497.806,38</w:t>
            </w:r>
          </w:p>
        </w:tc>
      </w:tr>
    </w:tbl>
    <w:p w:rsidR="001B420A" w:rsidRDefault="001B420A">
      <w:pPr>
        <w:spacing w:line="360" w:lineRule="auto"/>
        <w:jc w:val="both"/>
        <w:rPr>
          <w:b/>
        </w:rPr>
      </w:pPr>
    </w:p>
    <w:p w:rsidR="00AD0DFE" w:rsidRDefault="006A102F">
      <w:pPr>
        <w:spacing w:line="360" w:lineRule="auto"/>
        <w:jc w:val="both"/>
      </w:pPr>
      <w:r>
        <w:t xml:space="preserve">           </w:t>
      </w:r>
      <w:r w:rsidR="00FA42FE">
        <w:t xml:space="preserve">O total de recursos aplicados pelo Fundo Municipal de Saúde no período corresponde a </w:t>
      </w:r>
      <w:r w:rsidR="00EA30B0" w:rsidRPr="004D0990">
        <w:rPr>
          <w:b/>
          <w:color w:val="FF0000"/>
        </w:rPr>
        <w:t>32,77</w:t>
      </w:r>
      <w:r w:rsidR="00FA42FE" w:rsidRPr="004D0990">
        <w:rPr>
          <w:b/>
          <w:color w:val="FF0000"/>
        </w:rPr>
        <w:t>%</w:t>
      </w:r>
      <w:r w:rsidR="00FA42FE">
        <w:t xml:space="preserve"> do total dos Impostos Arrecadados e Transferidos, cumprindo o disposto no art. 77, III, do ADCT.</w:t>
      </w:r>
    </w:p>
    <w:p w:rsidR="00AD0DFE" w:rsidRDefault="00AD0DFE">
      <w:pPr>
        <w:spacing w:line="360" w:lineRule="auto"/>
        <w:contextualSpacing/>
        <w:rPr>
          <w:b/>
        </w:rPr>
      </w:pPr>
    </w:p>
    <w:p w:rsidR="00AD0DFE" w:rsidRDefault="00FA42FE">
      <w:pPr>
        <w:spacing w:line="360" w:lineRule="auto"/>
        <w:contextualSpacing/>
        <w:rPr>
          <w:b/>
        </w:rPr>
      </w:pPr>
      <w:r>
        <w:rPr>
          <w:b/>
        </w:rPr>
        <w:t>8 – Da Contabilidade:</w:t>
      </w:r>
    </w:p>
    <w:p w:rsidR="00AD0DFE" w:rsidRDefault="006A102F">
      <w:pPr>
        <w:pStyle w:val="PargrafodaLista"/>
        <w:tabs>
          <w:tab w:val="left" w:pos="709"/>
        </w:tabs>
        <w:spacing w:line="360" w:lineRule="auto"/>
        <w:ind w:left="0"/>
        <w:jc w:val="both"/>
        <w:rPr>
          <w:sz w:val="24"/>
          <w:szCs w:val="24"/>
        </w:rPr>
      </w:pPr>
      <w:r>
        <w:rPr>
          <w:sz w:val="24"/>
          <w:szCs w:val="24"/>
        </w:rPr>
        <w:t xml:space="preserve">           </w:t>
      </w:r>
      <w:r w:rsidR="00FA42FE">
        <w:rPr>
          <w:sz w:val="24"/>
          <w:szCs w:val="24"/>
        </w:rPr>
        <w:t xml:space="preserve">A contabilidade encontra-se em conformidade com a legislação vigente refletindo adequadamente a situação da contabilidade orçamentária financeira, contabilidade patrimonial, conforme balancetes previstos na Lei 4.320/64, conforme Lei 101/2000 (LRF). Sendo que a contabilidade patrimonial está em fase de adequação para efeitos contábeis para poder refletir uma realidade atual. Todas as operações contábeis são realizadas com documentação própria, assinadas pelo contador, gestor e tesoureiro. </w:t>
      </w:r>
    </w:p>
    <w:p w:rsidR="00AD0DFE" w:rsidRDefault="00AD0DFE">
      <w:pPr>
        <w:pStyle w:val="PargrafodaLista"/>
        <w:spacing w:line="360" w:lineRule="auto"/>
        <w:ind w:left="0"/>
        <w:contextualSpacing/>
        <w:jc w:val="both"/>
        <w:rPr>
          <w:b/>
          <w:sz w:val="24"/>
          <w:szCs w:val="24"/>
        </w:rPr>
      </w:pPr>
    </w:p>
    <w:p w:rsidR="00AD0DFE" w:rsidRDefault="00FA42FE">
      <w:pPr>
        <w:pStyle w:val="PargrafodaLista"/>
        <w:spacing w:line="360" w:lineRule="auto"/>
        <w:ind w:left="0"/>
        <w:contextualSpacing/>
        <w:jc w:val="both"/>
        <w:rPr>
          <w:b/>
          <w:sz w:val="24"/>
          <w:szCs w:val="24"/>
        </w:rPr>
      </w:pPr>
      <w:r>
        <w:rPr>
          <w:b/>
          <w:sz w:val="24"/>
          <w:szCs w:val="24"/>
        </w:rPr>
        <w:t>9 – Das Considerações Finais:</w:t>
      </w:r>
    </w:p>
    <w:p w:rsidR="00AD0DFE" w:rsidRDefault="006A102F">
      <w:pPr>
        <w:pStyle w:val="PargrafodaLista"/>
        <w:spacing w:line="360" w:lineRule="auto"/>
        <w:ind w:left="0"/>
        <w:jc w:val="both"/>
        <w:rPr>
          <w:sz w:val="24"/>
          <w:szCs w:val="24"/>
        </w:rPr>
      </w:pPr>
      <w:r>
        <w:rPr>
          <w:sz w:val="24"/>
          <w:szCs w:val="24"/>
        </w:rPr>
        <w:t xml:space="preserve">           </w:t>
      </w:r>
      <w:r w:rsidR="00FA42FE">
        <w:rPr>
          <w:sz w:val="24"/>
          <w:szCs w:val="24"/>
        </w:rPr>
        <w:t xml:space="preserve">Do trabalho realizado pela controladoria podemos concluir que no período referente ao </w:t>
      </w:r>
      <w:r w:rsidR="004D0990">
        <w:rPr>
          <w:sz w:val="24"/>
          <w:szCs w:val="24"/>
        </w:rPr>
        <w:t>3</w:t>
      </w:r>
      <w:r w:rsidR="00FA42FE">
        <w:rPr>
          <w:sz w:val="24"/>
          <w:szCs w:val="24"/>
        </w:rPr>
        <w:t>º quadrimestre do ano 2020, o Fundo Municipal de Saúde buscou atender art. 37, caput da CF, que dispõe sobre administração pública dos poderes da União, dos Estados, Distrito Federal, e dos Municípios obedecendo aos princípios da legalidade, impessoalidade, moralidade, publicidade e eficiência na gestão pública, atendendo ao limites constitucionais previstos para o Poder Executivo Municipal, respeitando as legislações vigentes para a contabilidade pública como a Lei Federal 4.320/64 e 101/2000 e a Lei Orgânica do Município.</w:t>
      </w:r>
    </w:p>
    <w:p w:rsidR="00AD0DFE" w:rsidRDefault="006A102F">
      <w:pPr>
        <w:pStyle w:val="PargrafodaLista"/>
        <w:spacing w:line="360" w:lineRule="auto"/>
        <w:ind w:left="0"/>
        <w:jc w:val="both"/>
        <w:rPr>
          <w:sz w:val="24"/>
          <w:szCs w:val="24"/>
        </w:rPr>
      </w:pPr>
      <w:r>
        <w:rPr>
          <w:sz w:val="24"/>
          <w:szCs w:val="24"/>
        </w:rPr>
        <w:t xml:space="preserve">           </w:t>
      </w:r>
      <w:r w:rsidR="00FA42FE">
        <w:rPr>
          <w:sz w:val="24"/>
          <w:szCs w:val="24"/>
        </w:rPr>
        <w:t xml:space="preserve">Para elaboração do presente relatório, o controle interno fez levantamento por amostragem dos processos gerados, das despesas incorridas no </w:t>
      </w:r>
      <w:r w:rsidR="0085086C">
        <w:rPr>
          <w:sz w:val="24"/>
          <w:szCs w:val="24"/>
        </w:rPr>
        <w:t>3</w:t>
      </w:r>
      <w:r w:rsidR="00FA42FE">
        <w:rPr>
          <w:sz w:val="24"/>
          <w:szCs w:val="24"/>
        </w:rPr>
        <w:t>º quadrimestre do ano de 2020. A metodologia utilizada foi analisar o cumprimento dos limites legais estabelecidos para o Executivo Municipal, mas também não menosprezando as despesas continuadas, pois temos como princípio a economicidade, eficiência na utilização dos recursos públicos, dando pareceres, quanto à legalidade nos atos e fatos gerados por esta casa de leis, quanto à geração de documentos comprobatórios para a realização das despesas, segundo a legislação vigente atualmente.</w:t>
      </w:r>
    </w:p>
    <w:p w:rsidR="00AD0DFE" w:rsidRDefault="00AD0DFE">
      <w:pPr>
        <w:pStyle w:val="PargrafodaLista"/>
        <w:spacing w:line="360" w:lineRule="auto"/>
        <w:ind w:left="0"/>
        <w:jc w:val="both"/>
        <w:rPr>
          <w:b/>
          <w:sz w:val="24"/>
          <w:szCs w:val="24"/>
        </w:rPr>
      </w:pPr>
    </w:p>
    <w:p w:rsidR="00AD0DFE" w:rsidRDefault="00FA42FE">
      <w:pPr>
        <w:pStyle w:val="PargrafodaLista"/>
        <w:spacing w:line="360" w:lineRule="auto"/>
        <w:ind w:left="0"/>
        <w:jc w:val="both"/>
        <w:rPr>
          <w:b/>
          <w:sz w:val="24"/>
          <w:szCs w:val="24"/>
        </w:rPr>
      </w:pPr>
      <w:r>
        <w:rPr>
          <w:b/>
          <w:sz w:val="24"/>
          <w:szCs w:val="24"/>
        </w:rPr>
        <w:lastRenderedPageBreak/>
        <w:t>10 – Notas Explicativas:</w:t>
      </w:r>
    </w:p>
    <w:p w:rsidR="00AD0DFE" w:rsidRDefault="006A102F">
      <w:pPr>
        <w:pStyle w:val="PargrafodaLista"/>
        <w:spacing w:line="360" w:lineRule="auto"/>
        <w:ind w:left="0"/>
        <w:jc w:val="both"/>
        <w:rPr>
          <w:sz w:val="24"/>
          <w:szCs w:val="24"/>
        </w:rPr>
      </w:pPr>
      <w:r>
        <w:rPr>
          <w:sz w:val="24"/>
          <w:szCs w:val="24"/>
        </w:rPr>
        <w:t xml:space="preserve">           </w:t>
      </w:r>
      <w:r w:rsidR="00FA42FE">
        <w:rPr>
          <w:sz w:val="24"/>
          <w:szCs w:val="24"/>
        </w:rPr>
        <w:t xml:space="preserve">A Prefeitura Municipal de Paragominas sempre buscou manter estreito relacionamento com a Corte de Contas TCM/PA, no cumprimento de sua função executiva, respeito à legislação, quanto ao uso de bens públicos e trato ao erário, primando pela economicidade, aprimoramento, transparência, sempre visando melhorar o atendimento aos anseios dos munícipes. </w:t>
      </w:r>
    </w:p>
    <w:p w:rsidR="00AD0DFE" w:rsidRDefault="00AD0DFE">
      <w:pPr>
        <w:pStyle w:val="PargrafodaLista"/>
        <w:spacing w:line="360" w:lineRule="auto"/>
        <w:ind w:left="735"/>
        <w:jc w:val="both"/>
        <w:rPr>
          <w:sz w:val="24"/>
          <w:szCs w:val="24"/>
        </w:rPr>
      </w:pPr>
    </w:p>
    <w:p w:rsidR="00AD0DFE" w:rsidRDefault="00FA42FE">
      <w:pPr>
        <w:pStyle w:val="PargrafodaLista"/>
        <w:spacing w:line="360" w:lineRule="auto"/>
        <w:ind w:left="735"/>
        <w:jc w:val="both"/>
      </w:pPr>
      <w:r>
        <w:rPr>
          <w:sz w:val="24"/>
          <w:szCs w:val="24"/>
        </w:rPr>
        <w:t xml:space="preserve">Paragominas (PA), </w:t>
      </w:r>
      <w:r w:rsidR="00CA426E">
        <w:rPr>
          <w:sz w:val="24"/>
          <w:szCs w:val="24"/>
        </w:rPr>
        <w:t>-----</w:t>
      </w:r>
      <w:r w:rsidR="0085086C">
        <w:rPr>
          <w:sz w:val="24"/>
          <w:szCs w:val="24"/>
        </w:rPr>
        <w:t xml:space="preserve"> </w:t>
      </w:r>
      <w:r w:rsidR="000D624D" w:rsidRPr="00F02410">
        <w:rPr>
          <w:sz w:val="24"/>
          <w:szCs w:val="24"/>
        </w:rPr>
        <w:t xml:space="preserve">de </w:t>
      </w:r>
      <w:r w:rsidR="00CA426E">
        <w:rPr>
          <w:sz w:val="24"/>
          <w:szCs w:val="24"/>
        </w:rPr>
        <w:t>-------------------</w:t>
      </w:r>
      <w:r w:rsidR="0085086C">
        <w:rPr>
          <w:sz w:val="24"/>
          <w:szCs w:val="24"/>
        </w:rPr>
        <w:t xml:space="preserve"> </w:t>
      </w:r>
      <w:r w:rsidR="00CA426E">
        <w:rPr>
          <w:color w:val="000000"/>
          <w:sz w:val="24"/>
          <w:szCs w:val="24"/>
        </w:rPr>
        <w:t xml:space="preserve">de </w:t>
      </w:r>
      <w:r>
        <w:rPr>
          <w:color w:val="000000"/>
          <w:sz w:val="24"/>
          <w:szCs w:val="24"/>
        </w:rPr>
        <w:t>2020.</w:t>
      </w:r>
    </w:p>
    <w:p w:rsidR="00AD0DFE" w:rsidRDefault="00AD0DFE">
      <w:pPr>
        <w:pStyle w:val="PargrafodaLista"/>
        <w:spacing w:line="360" w:lineRule="auto"/>
        <w:ind w:left="735"/>
        <w:jc w:val="both"/>
        <w:rPr>
          <w:sz w:val="24"/>
          <w:szCs w:val="24"/>
        </w:rPr>
      </w:pPr>
    </w:p>
    <w:p w:rsidR="00AD0DFE" w:rsidRDefault="00AD0DFE">
      <w:pPr>
        <w:pStyle w:val="PargrafodaLista"/>
        <w:spacing w:line="360" w:lineRule="auto"/>
        <w:ind w:left="735"/>
        <w:jc w:val="both"/>
        <w:rPr>
          <w:sz w:val="24"/>
          <w:szCs w:val="24"/>
        </w:rPr>
      </w:pPr>
    </w:p>
    <w:p w:rsidR="00AD0DFE" w:rsidRDefault="00AD0DFE">
      <w:pPr>
        <w:pStyle w:val="PargrafodaLista"/>
        <w:spacing w:line="360" w:lineRule="auto"/>
        <w:ind w:left="735"/>
        <w:jc w:val="both"/>
        <w:rPr>
          <w:sz w:val="24"/>
          <w:szCs w:val="24"/>
        </w:rPr>
      </w:pPr>
    </w:p>
    <w:p w:rsidR="00AD0DFE" w:rsidRDefault="006A102F">
      <w:pPr>
        <w:spacing w:line="360" w:lineRule="auto"/>
        <w:jc w:val="center"/>
      </w:pPr>
      <w:r>
        <w:t xml:space="preserve">           </w:t>
      </w:r>
      <w:bookmarkStart w:id="0" w:name="_GoBack"/>
      <w:bookmarkEnd w:id="0"/>
      <w:r w:rsidR="00FA42FE">
        <w:t>Adelmo Rocha Bicalho</w:t>
      </w:r>
    </w:p>
    <w:p w:rsidR="00AD0DFE" w:rsidRDefault="00FA42FE">
      <w:pPr>
        <w:pStyle w:val="PargrafodaLista"/>
        <w:spacing w:line="360" w:lineRule="auto"/>
        <w:ind w:left="735"/>
        <w:jc w:val="center"/>
        <w:rPr>
          <w:rFonts w:ascii="Arial" w:hAnsi="Arial" w:cs="Arial"/>
        </w:rPr>
      </w:pPr>
      <w:r>
        <w:rPr>
          <w:sz w:val="24"/>
          <w:szCs w:val="24"/>
        </w:rPr>
        <w:t>Controle Interno</w:t>
      </w:r>
    </w:p>
    <w:p w:rsidR="00AD0DFE" w:rsidRDefault="00FA42FE">
      <w:pPr>
        <w:tabs>
          <w:tab w:val="left" w:pos="6157"/>
        </w:tabs>
        <w:spacing w:after="120" w:line="360" w:lineRule="auto"/>
      </w:pPr>
      <w:r>
        <w:rPr>
          <w:rFonts w:ascii="Arial" w:hAnsi="Arial" w:cs="Arial"/>
        </w:rPr>
        <w:tab/>
      </w:r>
    </w:p>
    <w:sectPr w:rsidR="00AD0DFE" w:rsidSect="00AD0DFE">
      <w:headerReference w:type="default" r:id="rId7"/>
      <w:footerReference w:type="default" r:id="rId8"/>
      <w:pgSz w:w="11906" w:h="16838"/>
      <w:pgMar w:top="1418" w:right="1701" w:bottom="1418" w:left="1701" w:header="284" w:footer="176"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33E" w:rsidRDefault="003A633E" w:rsidP="00AD0DFE">
      <w:r>
        <w:separator/>
      </w:r>
    </w:p>
  </w:endnote>
  <w:endnote w:type="continuationSeparator" w:id="0">
    <w:p w:rsidR="003A633E" w:rsidRDefault="003A633E" w:rsidP="00AD0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altName w:val="Lucida Sans Unicode"/>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Symbol">
    <w:altName w:val="Arial Unicode MS"/>
    <w:panose1 w:val="05010000000000000000"/>
    <w:charset w:val="00"/>
    <w:family w:val="roman"/>
    <w:pitch w:val="variable"/>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6C" w:rsidRDefault="0085086C">
    <w:pPr>
      <w:jc w:val="center"/>
      <w:rPr>
        <w:rFonts w:ascii="Arial" w:hAnsi="Arial" w:cs="Arial"/>
        <w:b/>
        <w:sz w:val="16"/>
        <w:szCs w:val="14"/>
      </w:rPr>
    </w:pPr>
    <w:r>
      <w:rPr>
        <w:rFonts w:ascii="Arial" w:hAnsi="Arial" w:cs="Arial"/>
        <w:b/>
        <w:sz w:val="16"/>
        <w:szCs w:val="14"/>
      </w:rPr>
      <w:t>PREFEITURA MUNICIPAL DE PARAGOMINAS</w:t>
    </w:r>
  </w:p>
  <w:p w:rsidR="0085086C" w:rsidRDefault="0085086C">
    <w:pPr>
      <w:jc w:val="center"/>
      <w:rPr>
        <w:rFonts w:ascii="Arial" w:hAnsi="Arial" w:cs="Arial"/>
        <w:sz w:val="14"/>
        <w:szCs w:val="14"/>
      </w:rPr>
    </w:pPr>
    <w:r>
      <w:rPr>
        <w:rFonts w:ascii="Arial" w:hAnsi="Arial" w:cs="Arial"/>
        <w:sz w:val="14"/>
        <w:szCs w:val="14"/>
      </w:rPr>
      <w:t>Rua do Contorno, 1212 – Centro – CEP: 68625-970 – Tel.: (91) 3729-8037 / 8038 / 8001 – Fax: 3729-8002 – Ramal 23</w:t>
    </w:r>
  </w:p>
  <w:p w:rsidR="0085086C" w:rsidRDefault="0085086C">
    <w:pPr>
      <w:jc w:val="center"/>
      <w:rPr>
        <w:rFonts w:ascii="Arial" w:hAnsi="Arial" w:cs="Arial"/>
        <w:sz w:val="14"/>
        <w:szCs w:val="14"/>
      </w:rPr>
    </w:pPr>
    <w:r>
      <w:rPr>
        <w:rFonts w:ascii="Arial" w:hAnsi="Arial" w:cs="Arial"/>
        <w:sz w:val="14"/>
        <w:szCs w:val="14"/>
      </w:rPr>
      <w:t xml:space="preserve">CNPJ: 05.193.057/0001-78 – Paragominas – PA / </w:t>
    </w:r>
    <w:r>
      <w:rPr>
        <w:rFonts w:ascii="Arial" w:hAnsi="Arial" w:cs="Arial"/>
        <w:b/>
        <w:sz w:val="14"/>
        <w:szCs w:val="14"/>
      </w:rPr>
      <w:t>CONTROLADORIA</w:t>
    </w:r>
  </w:p>
  <w:p w:rsidR="0085086C" w:rsidRDefault="0085086C">
    <w:pPr>
      <w:jc w:val="center"/>
    </w:pPr>
    <w:r>
      <w:rPr>
        <w:rFonts w:ascii="Arial" w:hAnsi="Arial" w:cs="Arial"/>
        <w:sz w:val="14"/>
        <w:szCs w:val="14"/>
      </w:rPr>
      <w:t>controladoria@paragominas.pa.gov.br</w:t>
    </w:r>
  </w:p>
  <w:p w:rsidR="0085086C" w:rsidRDefault="0085086C">
    <w:pPr>
      <w:pStyle w:val="Rodap1"/>
      <w:rPr>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33E" w:rsidRDefault="003A633E" w:rsidP="00AD0DFE">
      <w:r>
        <w:separator/>
      </w:r>
    </w:p>
  </w:footnote>
  <w:footnote w:type="continuationSeparator" w:id="0">
    <w:p w:rsidR="003A633E" w:rsidRDefault="003A633E" w:rsidP="00AD0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6C" w:rsidRDefault="0085086C">
    <w:pPr>
      <w:pStyle w:val="Cabealho1"/>
      <w:jc w:val="center"/>
      <w:rPr>
        <w:rFonts w:ascii="Arial" w:hAnsi="Arial" w:cs="Arial"/>
        <w:b/>
        <w:sz w:val="18"/>
      </w:rPr>
    </w:pPr>
    <w:r>
      <w:rPr>
        <w:rFonts w:ascii="Arial" w:hAnsi="Arial" w:cs="Arial"/>
        <w:b/>
        <w:noProof/>
        <w:sz w:val="18"/>
        <w:lang w:bidi="ar-SA"/>
      </w:rPr>
      <w:drawing>
        <wp:anchor distT="0" distB="0" distL="0" distR="0" simplePos="0" relativeHeight="251656704" behindDoc="1" locked="0" layoutInCell="1" allowOverlap="1">
          <wp:simplePos x="0" y="0"/>
          <wp:positionH relativeFrom="column">
            <wp:posOffset>4998720</wp:posOffset>
          </wp:positionH>
          <wp:positionV relativeFrom="paragraph">
            <wp:posOffset>-23495</wp:posOffset>
          </wp:positionV>
          <wp:extent cx="990600" cy="757555"/>
          <wp:effectExtent l="0" t="0" r="0" b="0"/>
          <wp:wrapNone/>
          <wp:docPr id="1" name="Imagem 1" descr="D:\Desktop\LUZIA\logo prefeitura nova - cha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Desktop\LUZIA\logo prefeitura nova - chapada.jpg"/>
                  <pic:cNvPicPr>
                    <a:picLocks noChangeAspect="1" noChangeArrowheads="1"/>
                  </pic:cNvPicPr>
                </pic:nvPicPr>
                <pic:blipFill>
                  <a:blip r:embed="rId1"/>
                  <a:stretch>
                    <a:fillRect/>
                  </a:stretch>
                </pic:blipFill>
                <pic:spPr bwMode="auto">
                  <a:xfrm>
                    <a:off x="0" y="0"/>
                    <a:ext cx="990600" cy="757555"/>
                  </a:xfrm>
                  <a:prstGeom prst="rect">
                    <a:avLst/>
                  </a:prstGeom>
                </pic:spPr>
              </pic:pic>
            </a:graphicData>
          </a:graphic>
        </wp:anchor>
      </w:drawing>
    </w:r>
    <w:r>
      <w:rPr>
        <w:rFonts w:ascii="Arial" w:hAnsi="Arial" w:cs="Arial"/>
        <w:b/>
        <w:noProof/>
        <w:sz w:val="18"/>
        <w:lang w:bidi="ar-SA"/>
      </w:rPr>
      <w:drawing>
        <wp:anchor distT="0" distB="0" distL="0" distR="0" simplePos="0" relativeHeight="251657728" behindDoc="1" locked="0" layoutInCell="1" allowOverlap="1">
          <wp:simplePos x="0" y="0"/>
          <wp:positionH relativeFrom="column">
            <wp:posOffset>-535940</wp:posOffset>
          </wp:positionH>
          <wp:positionV relativeFrom="paragraph">
            <wp:posOffset>-57785</wp:posOffset>
          </wp:positionV>
          <wp:extent cx="962660" cy="819150"/>
          <wp:effectExtent l="0" t="0" r="0" b="0"/>
          <wp:wrapNone/>
          <wp:docPr id="2" name="sb-player" descr="http://www.ekonet.com.br/upload/arq_arquivo/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player" descr="http://www.ekonet.com.br/upload/arq_arquivo/479.jpg"/>
                  <pic:cNvPicPr>
                    <a:picLocks noChangeAspect="1" noChangeArrowheads="1"/>
                  </pic:cNvPicPr>
                </pic:nvPicPr>
                <pic:blipFill>
                  <a:blip r:embed="rId2"/>
                  <a:stretch>
                    <a:fillRect/>
                  </a:stretch>
                </pic:blipFill>
                <pic:spPr bwMode="auto">
                  <a:xfrm>
                    <a:off x="0" y="0"/>
                    <a:ext cx="962660" cy="819150"/>
                  </a:xfrm>
                  <a:prstGeom prst="rect">
                    <a:avLst/>
                  </a:prstGeom>
                </pic:spPr>
              </pic:pic>
            </a:graphicData>
          </a:graphic>
        </wp:anchor>
      </w:drawing>
    </w:r>
    <w:r w:rsidR="003A633E">
      <w:pict>
        <v:rect id="_x0000_s2049" style="position:absolute;left:0;text-align:left;margin-left:-207.7pt;margin-top:.05pt;width:4.85pt;height:9.05pt;z-index:251658752;mso-wrap-distance-left:0;mso-wrap-distance-top:0;mso-wrap-distance-right:0;mso-wrap-distance-bottom:0;mso-position-horizontal:right;mso-position-horizontal-relative:margin;mso-position-vertical-relative:text">
          <v:fill opacity="0"/>
          <v:textbox inset="0,0,0,0">
            <w:txbxContent>
              <w:p w:rsidR="0085086C" w:rsidRDefault="0085086C">
                <w:pPr>
                  <w:pStyle w:val="Cabealho1"/>
                </w:pPr>
                <w:r>
                  <w:rPr>
                    <w:rStyle w:val="Nmerodepgina"/>
                    <w:rFonts w:ascii="Courier New" w:hAnsi="Courier New" w:cs="Courier New"/>
                    <w:b/>
                    <w:bCs/>
                    <w:sz w:val="16"/>
                    <w:szCs w:val="16"/>
                  </w:rPr>
                  <w:fldChar w:fldCharType="begin"/>
                </w:r>
                <w:r>
                  <w:rPr>
                    <w:rStyle w:val="Nmerodepgina"/>
                    <w:rFonts w:ascii="Courier New" w:hAnsi="Courier New" w:cs="Courier New"/>
                    <w:b/>
                    <w:bCs/>
                    <w:sz w:val="16"/>
                    <w:szCs w:val="16"/>
                  </w:rPr>
                  <w:instrText>PAGE</w:instrText>
                </w:r>
                <w:r>
                  <w:rPr>
                    <w:rStyle w:val="Nmerodepgina"/>
                    <w:rFonts w:ascii="Courier New" w:hAnsi="Courier New" w:cs="Courier New"/>
                    <w:b/>
                    <w:bCs/>
                    <w:sz w:val="16"/>
                    <w:szCs w:val="16"/>
                  </w:rPr>
                  <w:fldChar w:fldCharType="separate"/>
                </w:r>
                <w:r w:rsidR="006A102F">
                  <w:rPr>
                    <w:rStyle w:val="Nmerodepgina"/>
                    <w:rFonts w:ascii="Courier New" w:hAnsi="Courier New" w:cs="Courier New"/>
                    <w:b/>
                    <w:bCs/>
                    <w:noProof/>
                    <w:sz w:val="16"/>
                    <w:szCs w:val="16"/>
                  </w:rPr>
                  <w:t>6</w:t>
                </w:r>
                <w:r>
                  <w:rPr>
                    <w:rStyle w:val="Nmerodepgina"/>
                    <w:rFonts w:ascii="Courier New" w:hAnsi="Courier New" w:cs="Courier New"/>
                    <w:b/>
                    <w:bCs/>
                    <w:sz w:val="16"/>
                    <w:szCs w:val="16"/>
                  </w:rPr>
                  <w:fldChar w:fldCharType="end"/>
                </w:r>
              </w:p>
            </w:txbxContent>
          </v:textbox>
          <w10:wrap type="square" side="largest" anchorx="margin"/>
        </v:rect>
      </w:pict>
    </w:r>
  </w:p>
  <w:p w:rsidR="0085086C" w:rsidRDefault="0085086C">
    <w:pPr>
      <w:pStyle w:val="Cabealho1"/>
      <w:jc w:val="center"/>
      <w:rPr>
        <w:rFonts w:ascii="Arial" w:hAnsi="Arial" w:cs="Arial"/>
        <w:b/>
        <w:sz w:val="18"/>
      </w:rPr>
    </w:pPr>
    <w:r>
      <w:rPr>
        <w:rFonts w:ascii="Arial" w:hAnsi="Arial" w:cs="Arial"/>
        <w:b/>
        <w:sz w:val="18"/>
      </w:rPr>
      <w:t>PREFEITURA MUNICIPAL DE PARAGOMINAS</w:t>
    </w:r>
  </w:p>
  <w:p w:rsidR="0085086C" w:rsidRDefault="0085086C">
    <w:pPr>
      <w:pStyle w:val="Cabealho1"/>
      <w:jc w:val="center"/>
      <w:rPr>
        <w:rFonts w:ascii="Arial" w:hAnsi="Arial" w:cs="Arial"/>
        <w:b/>
        <w:sz w:val="18"/>
      </w:rPr>
    </w:pPr>
    <w:r>
      <w:rPr>
        <w:rFonts w:ascii="Arial" w:hAnsi="Arial" w:cs="Arial"/>
        <w:b/>
        <w:sz w:val="18"/>
      </w:rPr>
      <w:t>CONTROLADORIA GERAL</w:t>
    </w:r>
  </w:p>
  <w:p w:rsidR="0085086C" w:rsidRDefault="0085086C">
    <w:pPr>
      <w:pStyle w:val="Cabealho1"/>
      <w:jc w:val="center"/>
      <w:rPr>
        <w:rFonts w:ascii="Arial" w:hAnsi="Arial" w:cs="Arial"/>
        <w:b/>
      </w:rPr>
    </w:pPr>
    <w:r>
      <w:rPr>
        <w:rFonts w:ascii="Arial" w:hAnsi="Arial" w:cs="Arial"/>
        <w:b/>
        <w:sz w:val="18"/>
      </w:rPr>
      <w:t>www.paragominas.pa.gov.br</w:t>
    </w:r>
  </w:p>
  <w:p w:rsidR="0085086C" w:rsidRDefault="0085086C">
    <w:pPr>
      <w:pStyle w:val="Cabealho1"/>
      <w:tabs>
        <w:tab w:val="center" w:pos="4653"/>
        <w:tab w:val="right" w:pos="9306"/>
      </w:tabs>
      <w:ind w:right="360"/>
      <w:jc w:val="center"/>
      <w:rPr>
        <w:rFonts w:ascii="Arial" w:hAnsi="Arial" w:cs="Arial"/>
        <w:b/>
        <w:bCs/>
        <w:sz w:val="10"/>
        <w:szCs w:val="1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D0DFE"/>
    <w:rsid w:val="0004279D"/>
    <w:rsid w:val="00084046"/>
    <w:rsid w:val="000D624D"/>
    <w:rsid w:val="001B420A"/>
    <w:rsid w:val="001B77EB"/>
    <w:rsid w:val="001D7305"/>
    <w:rsid w:val="00205D8F"/>
    <w:rsid w:val="0025362F"/>
    <w:rsid w:val="00277A18"/>
    <w:rsid w:val="002A22AE"/>
    <w:rsid w:val="0030637F"/>
    <w:rsid w:val="003435F5"/>
    <w:rsid w:val="003A633E"/>
    <w:rsid w:val="003B78D4"/>
    <w:rsid w:val="003F1594"/>
    <w:rsid w:val="00426687"/>
    <w:rsid w:val="004439FF"/>
    <w:rsid w:val="00457E0F"/>
    <w:rsid w:val="004D0990"/>
    <w:rsid w:val="00633859"/>
    <w:rsid w:val="006A102F"/>
    <w:rsid w:val="006D1F07"/>
    <w:rsid w:val="006D5B3F"/>
    <w:rsid w:val="00770B22"/>
    <w:rsid w:val="007753A3"/>
    <w:rsid w:val="007B74BD"/>
    <w:rsid w:val="007C1312"/>
    <w:rsid w:val="008273AD"/>
    <w:rsid w:val="0085086C"/>
    <w:rsid w:val="00873F74"/>
    <w:rsid w:val="00875940"/>
    <w:rsid w:val="00901FD5"/>
    <w:rsid w:val="00953DC4"/>
    <w:rsid w:val="00A634FA"/>
    <w:rsid w:val="00AA6FBE"/>
    <w:rsid w:val="00AD0DFE"/>
    <w:rsid w:val="00BC1BF1"/>
    <w:rsid w:val="00BE6CD6"/>
    <w:rsid w:val="00CA426E"/>
    <w:rsid w:val="00CE6997"/>
    <w:rsid w:val="00D024BB"/>
    <w:rsid w:val="00D061B8"/>
    <w:rsid w:val="00D97CC7"/>
    <w:rsid w:val="00E110FD"/>
    <w:rsid w:val="00E54BFB"/>
    <w:rsid w:val="00EA30B0"/>
    <w:rsid w:val="00EF2D1D"/>
    <w:rsid w:val="00F02410"/>
    <w:rsid w:val="00F232F3"/>
    <w:rsid w:val="00FA42F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F6A83EF-5513-404B-948F-A6DE996D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Lucida Sans"/>
        <w:kern w:val="2"/>
        <w:szCs w:val="24"/>
        <w:lang w:val="pt-B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829"/>
    <w:rPr>
      <w:rFonts w:ascii="Times New Roman" w:eastAsia="Times New Roman" w:hAnsi="Times New Roman" w:cs="Times New Roman"/>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D809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Ttulo41">
    <w:name w:val="Título 41"/>
    <w:basedOn w:val="Normal"/>
    <w:next w:val="Normal"/>
    <w:link w:val="Ttulo4Char"/>
    <w:qFormat/>
    <w:rsid w:val="00A06829"/>
    <w:pPr>
      <w:keepNext/>
      <w:spacing w:before="240" w:after="60"/>
      <w:outlineLvl w:val="3"/>
    </w:pPr>
    <w:rPr>
      <w:b/>
      <w:bCs/>
      <w:sz w:val="28"/>
      <w:szCs w:val="28"/>
    </w:rPr>
  </w:style>
  <w:style w:type="character" w:customStyle="1" w:styleId="Ttulo4Char">
    <w:name w:val="Título 4 Char"/>
    <w:basedOn w:val="Fontepargpadro"/>
    <w:link w:val="Ttulo41"/>
    <w:qFormat/>
    <w:rsid w:val="00A06829"/>
    <w:rPr>
      <w:rFonts w:ascii="Times New Roman" w:eastAsia="Times New Roman" w:hAnsi="Times New Roman" w:cs="Times New Roman"/>
      <w:b/>
      <w:bCs/>
      <w:sz w:val="28"/>
      <w:szCs w:val="28"/>
      <w:lang w:eastAsia="pt-BR"/>
    </w:rPr>
  </w:style>
  <w:style w:type="character" w:customStyle="1" w:styleId="CabealhoChar">
    <w:name w:val="Cabeçalho Char"/>
    <w:basedOn w:val="Fontepargpadro"/>
    <w:link w:val="Cabealho1"/>
    <w:uiPriority w:val="99"/>
    <w:qFormat/>
    <w:rsid w:val="00A06829"/>
    <w:rPr>
      <w:rFonts w:ascii="Times New Roman" w:eastAsia="Times New Roman" w:hAnsi="Times New Roman" w:cs="Times New Roman"/>
      <w:sz w:val="24"/>
      <w:szCs w:val="24"/>
      <w:lang w:eastAsia="pt-BR"/>
    </w:rPr>
  </w:style>
  <w:style w:type="character" w:customStyle="1" w:styleId="RodapChar">
    <w:name w:val="Rodapé Char"/>
    <w:basedOn w:val="Fontepargpadro"/>
    <w:link w:val="Rodap1"/>
    <w:uiPriority w:val="99"/>
    <w:qFormat/>
    <w:rsid w:val="00A06829"/>
    <w:rPr>
      <w:rFonts w:ascii="Times New Roman" w:eastAsia="Times New Roman" w:hAnsi="Times New Roman" w:cs="Times New Roman"/>
      <w:sz w:val="24"/>
      <w:szCs w:val="24"/>
      <w:lang w:eastAsia="pt-BR"/>
    </w:rPr>
  </w:style>
  <w:style w:type="character" w:styleId="Nmerodepgina">
    <w:name w:val="page number"/>
    <w:basedOn w:val="Fontepargpadro"/>
    <w:qFormat/>
    <w:rsid w:val="00A06829"/>
  </w:style>
  <w:style w:type="character" w:customStyle="1" w:styleId="CorpodetextoChar">
    <w:name w:val="Corpo de texto Char"/>
    <w:basedOn w:val="Fontepargpadro"/>
    <w:link w:val="Corpodetexto"/>
    <w:qFormat/>
    <w:rsid w:val="00A06829"/>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qFormat/>
    <w:rsid w:val="007B7BE6"/>
    <w:rPr>
      <w:rFonts w:ascii="Tahoma" w:eastAsia="Times New Roman" w:hAnsi="Tahoma" w:cs="Tahoma"/>
      <w:sz w:val="16"/>
      <w:szCs w:val="16"/>
      <w:lang w:eastAsia="pt-BR"/>
    </w:rPr>
  </w:style>
  <w:style w:type="character" w:customStyle="1" w:styleId="Ttulo1Char">
    <w:name w:val="Título 1 Char"/>
    <w:basedOn w:val="Fontepargpadro"/>
    <w:link w:val="Ttulo11"/>
    <w:uiPriority w:val="9"/>
    <w:qFormat/>
    <w:rsid w:val="00D809ED"/>
    <w:rPr>
      <w:rFonts w:asciiTheme="majorHAnsi" w:eastAsiaTheme="majorEastAsia" w:hAnsiTheme="majorHAnsi" w:cstheme="majorBidi"/>
      <w:b/>
      <w:bCs/>
      <w:color w:val="365F91" w:themeColor="accent1" w:themeShade="BF"/>
      <w:sz w:val="28"/>
      <w:szCs w:val="28"/>
      <w:lang w:eastAsia="pt-BR"/>
    </w:rPr>
  </w:style>
  <w:style w:type="character" w:customStyle="1" w:styleId="ListLabel1">
    <w:name w:val="ListLabel 1"/>
    <w:qFormat/>
    <w:rsid w:val="00AD0DFE"/>
    <w:rPr>
      <w:rFonts w:cs="Courier New"/>
    </w:rPr>
  </w:style>
  <w:style w:type="character" w:customStyle="1" w:styleId="ListLabel2">
    <w:name w:val="ListLabel 2"/>
    <w:qFormat/>
    <w:rsid w:val="00AD0DFE"/>
    <w:rPr>
      <w:rFonts w:cs="Courier New"/>
    </w:rPr>
  </w:style>
  <w:style w:type="character" w:customStyle="1" w:styleId="ListLabel3">
    <w:name w:val="ListLabel 3"/>
    <w:qFormat/>
    <w:rsid w:val="00AD0DFE"/>
    <w:rPr>
      <w:rFonts w:cs="Courier New"/>
    </w:rPr>
  </w:style>
  <w:style w:type="character" w:customStyle="1" w:styleId="ListLabel4">
    <w:name w:val="ListLabel 4"/>
    <w:qFormat/>
    <w:rsid w:val="00AD0DFE"/>
    <w:rPr>
      <w:rFonts w:cs="Courier New"/>
    </w:rPr>
  </w:style>
  <w:style w:type="character" w:customStyle="1" w:styleId="ListLabel5">
    <w:name w:val="ListLabel 5"/>
    <w:qFormat/>
    <w:rsid w:val="00AD0DFE"/>
    <w:rPr>
      <w:rFonts w:cs="Courier New"/>
    </w:rPr>
  </w:style>
  <w:style w:type="character" w:customStyle="1" w:styleId="ListLabel6">
    <w:name w:val="ListLabel 6"/>
    <w:qFormat/>
    <w:rsid w:val="00AD0DFE"/>
    <w:rPr>
      <w:rFonts w:cs="Courier New"/>
    </w:rPr>
  </w:style>
  <w:style w:type="character" w:customStyle="1" w:styleId="ListLabel7">
    <w:name w:val="ListLabel 7"/>
    <w:qFormat/>
    <w:rsid w:val="00AD0DFE"/>
    <w:rPr>
      <w:rFonts w:cs="Courier New"/>
    </w:rPr>
  </w:style>
  <w:style w:type="character" w:customStyle="1" w:styleId="ListLabel8">
    <w:name w:val="ListLabel 8"/>
    <w:qFormat/>
    <w:rsid w:val="00AD0DFE"/>
    <w:rPr>
      <w:rFonts w:cs="Courier New"/>
    </w:rPr>
  </w:style>
  <w:style w:type="character" w:customStyle="1" w:styleId="ListLabel9">
    <w:name w:val="ListLabel 9"/>
    <w:qFormat/>
    <w:rsid w:val="00AD0DFE"/>
    <w:rPr>
      <w:rFonts w:cs="Courier New"/>
    </w:rPr>
  </w:style>
  <w:style w:type="character" w:customStyle="1" w:styleId="ListLabel10">
    <w:name w:val="ListLabel 10"/>
    <w:qFormat/>
    <w:rsid w:val="00AD0DFE"/>
    <w:rPr>
      <w:rFonts w:cs="Courier New"/>
    </w:rPr>
  </w:style>
  <w:style w:type="character" w:customStyle="1" w:styleId="ListLabel11">
    <w:name w:val="ListLabel 11"/>
    <w:qFormat/>
    <w:rsid w:val="00AD0DFE"/>
    <w:rPr>
      <w:rFonts w:cs="Courier New"/>
    </w:rPr>
  </w:style>
  <w:style w:type="character" w:customStyle="1" w:styleId="ListLabel12">
    <w:name w:val="ListLabel 12"/>
    <w:qFormat/>
    <w:rsid w:val="00AD0DFE"/>
    <w:rPr>
      <w:rFonts w:cs="Courier New"/>
    </w:rPr>
  </w:style>
  <w:style w:type="character" w:customStyle="1" w:styleId="ListLabel13">
    <w:name w:val="ListLabel 13"/>
    <w:qFormat/>
    <w:rsid w:val="00AD0DFE"/>
    <w:rPr>
      <w:rFonts w:cs="Courier New"/>
    </w:rPr>
  </w:style>
  <w:style w:type="character" w:customStyle="1" w:styleId="ListLabel14">
    <w:name w:val="ListLabel 14"/>
    <w:qFormat/>
    <w:rsid w:val="00AD0DFE"/>
    <w:rPr>
      <w:rFonts w:cs="Courier New"/>
    </w:rPr>
  </w:style>
  <w:style w:type="character" w:customStyle="1" w:styleId="ListLabel15">
    <w:name w:val="ListLabel 15"/>
    <w:qFormat/>
    <w:rsid w:val="00AD0DFE"/>
    <w:rPr>
      <w:rFonts w:cs="Courier New"/>
    </w:rPr>
  </w:style>
  <w:style w:type="character" w:customStyle="1" w:styleId="ListLabel16">
    <w:name w:val="ListLabel 16"/>
    <w:qFormat/>
    <w:rsid w:val="00AD0DFE"/>
    <w:rPr>
      <w:rFonts w:cs="Courier New"/>
    </w:rPr>
  </w:style>
  <w:style w:type="character" w:customStyle="1" w:styleId="ListLabel17">
    <w:name w:val="ListLabel 17"/>
    <w:qFormat/>
    <w:rsid w:val="00AD0DFE"/>
    <w:rPr>
      <w:rFonts w:cs="Courier New"/>
    </w:rPr>
  </w:style>
  <w:style w:type="character" w:customStyle="1" w:styleId="ListLabel18">
    <w:name w:val="ListLabel 18"/>
    <w:qFormat/>
    <w:rsid w:val="00AD0DFE"/>
    <w:rPr>
      <w:rFonts w:cs="Courier New"/>
    </w:rPr>
  </w:style>
  <w:style w:type="character" w:customStyle="1" w:styleId="ListLabel19">
    <w:name w:val="ListLabel 19"/>
    <w:qFormat/>
    <w:rsid w:val="00AD0DFE"/>
    <w:rPr>
      <w:rFonts w:cs="Courier New"/>
    </w:rPr>
  </w:style>
  <w:style w:type="character" w:customStyle="1" w:styleId="ListLabel20">
    <w:name w:val="ListLabel 20"/>
    <w:qFormat/>
    <w:rsid w:val="00AD0DFE"/>
    <w:rPr>
      <w:rFonts w:cs="Courier New"/>
    </w:rPr>
  </w:style>
  <w:style w:type="character" w:customStyle="1" w:styleId="ListLabel21">
    <w:name w:val="ListLabel 21"/>
    <w:qFormat/>
    <w:rsid w:val="00AD0DFE"/>
    <w:rPr>
      <w:rFonts w:cs="Courier New"/>
    </w:rPr>
  </w:style>
  <w:style w:type="character" w:customStyle="1" w:styleId="ListLabel22">
    <w:name w:val="ListLabel 22"/>
    <w:qFormat/>
    <w:rsid w:val="00AD0DFE"/>
    <w:rPr>
      <w:rFonts w:cs="Courier New"/>
    </w:rPr>
  </w:style>
  <w:style w:type="character" w:customStyle="1" w:styleId="ListLabel23">
    <w:name w:val="ListLabel 23"/>
    <w:qFormat/>
    <w:rsid w:val="00AD0DFE"/>
    <w:rPr>
      <w:rFonts w:cs="Courier New"/>
    </w:rPr>
  </w:style>
  <w:style w:type="character" w:customStyle="1" w:styleId="ListLabel24">
    <w:name w:val="ListLabel 24"/>
    <w:qFormat/>
    <w:rsid w:val="00AD0DFE"/>
    <w:rPr>
      <w:rFonts w:cs="Courier New"/>
    </w:rPr>
  </w:style>
  <w:style w:type="character" w:customStyle="1" w:styleId="ListLabel25">
    <w:name w:val="ListLabel 25"/>
    <w:qFormat/>
    <w:rsid w:val="00AD0DFE"/>
    <w:rPr>
      <w:b w:val="0"/>
      <w:sz w:val="24"/>
    </w:rPr>
  </w:style>
  <w:style w:type="character" w:customStyle="1" w:styleId="Marcas">
    <w:name w:val="Marcas"/>
    <w:qFormat/>
    <w:rsid w:val="00AD0DFE"/>
    <w:rPr>
      <w:rFonts w:ascii="OpenSymbol" w:eastAsia="OpenSymbol" w:hAnsi="OpenSymbol" w:cs="OpenSymbol"/>
    </w:rPr>
  </w:style>
  <w:style w:type="paragraph" w:styleId="Ttulo">
    <w:name w:val="Title"/>
    <w:basedOn w:val="Normal"/>
    <w:next w:val="Corpodetexto"/>
    <w:qFormat/>
    <w:rsid w:val="00AD0DFE"/>
    <w:pPr>
      <w:keepNext/>
      <w:spacing w:before="240" w:after="120"/>
    </w:pPr>
    <w:rPr>
      <w:rFonts w:ascii="Liberation Sans" w:eastAsia="Microsoft YaHei" w:hAnsi="Liberation Sans" w:cs="Lucida Sans"/>
      <w:sz w:val="28"/>
      <w:szCs w:val="28"/>
    </w:rPr>
  </w:style>
  <w:style w:type="paragraph" w:styleId="Corpodetexto">
    <w:name w:val="Body Text"/>
    <w:basedOn w:val="Normal"/>
    <w:link w:val="CorpodetextoChar"/>
    <w:rsid w:val="00A06829"/>
    <w:pPr>
      <w:spacing w:after="120"/>
    </w:pPr>
  </w:style>
  <w:style w:type="paragraph" w:styleId="Lista">
    <w:name w:val="List"/>
    <w:basedOn w:val="Corpodetexto"/>
    <w:rsid w:val="00AD0DFE"/>
    <w:rPr>
      <w:rFonts w:cs="Lucida Sans"/>
    </w:rPr>
  </w:style>
  <w:style w:type="paragraph" w:customStyle="1" w:styleId="Legenda1">
    <w:name w:val="Legenda1"/>
    <w:basedOn w:val="Normal"/>
    <w:qFormat/>
    <w:rsid w:val="00AD0DFE"/>
    <w:pPr>
      <w:suppressLineNumbers/>
      <w:spacing w:before="120" w:after="120"/>
    </w:pPr>
    <w:rPr>
      <w:rFonts w:cs="Lucida Sans"/>
      <w:i/>
      <w:iCs/>
    </w:rPr>
  </w:style>
  <w:style w:type="paragraph" w:customStyle="1" w:styleId="ndice">
    <w:name w:val="Índice"/>
    <w:basedOn w:val="Normal"/>
    <w:qFormat/>
    <w:rsid w:val="00AD0DFE"/>
    <w:pPr>
      <w:suppressLineNumbers/>
    </w:pPr>
    <w:rPr>
      <w:rFonts w:cs="Lucida Sans"/>
    </w:rPr>
  </w:style>
  <w:style w:type="paragraph" w:customStyle="1" w:styleId="Cabealho1">
    <w:name w:val="Cabeçalho1"/>
    <w:basedOn w:val="Normal"/>
    <w:link w:val="CabealhoChar"/>
    <w:uiPriority w:val="99"/>
    <w:rsid w:val="00A06829"/>
    <w:pPr>
      <w:tabs>
        <w:tab w:val="center" w:pos="4252"/>
        <w:tab w:val="right" w:pos="8504"/>
      </w:tabs>
    </w:pPr>
  </w:style>
  <w:style w:type="paragraph" w:customStyle="1" w:styleId="Rodap1">
    <w:name w:val="Rodapé1"/>
    <w:basedOn w:val="Normal"/>
    <w:link w:val="RodapChar"/>
    <w:uiPriority w:val="99"/>
    <w:rsid w:val="00A06829"/>
    <w:pPr>
      <w:tabs>
        <w:tab w:val="center" w:pos="4252"/>
        <w:tab w:val="right" w:pos="8504"/>
      </w:tabs>
    </w:pPr>
  </w:style>
  <w:style w:type="paragraph" w:styleId="Textodebalo">
    <w:name w:val="Balloon Text"/>
    <w:basedOn w:val="Normal"/>
    <w:link w:val="TextodebaloChar"/>
    <w:uiPriority w:val="99"/>
    <w:semiHidden/>
    <w:unhideWhenUsed/>
    <w:qFormat/>
    <w:rsid w:val="007B7BE6"/>
    <w:rPr>
      <w:rFonts w:ascii="Tahoma" w:hAnsi="Tahoma" w:cs="Tahoma"/>
      <w:sz w:val="16"/>
      <w:szCs w:val="16"/>
    </w:rPr>
  </w:style>
  <w:style w:type="paragraph" w:styleId="SemEspaamento">
    <w:name w:val="No Spacing"/>
    <w:uiPriority w:val="1"/>
    <w:qFormat/>
    <w:rsid w:val="006E754D"/>
    <w:rPr>
      <w:rFonts w:ascii="Times New Roman" w:eastAsia="Times New Roman" w:hAnsi="Times New Roman" w:cs="Times New Roman"/>
      <w:sz w:val="24"/>
      <w:lang w:eastAsia="pt-BR"/>
    </w:rPr>
  </w:style>
  <w:style w:type="paragraph" w:styleId="PargrafodaLista">
    <w:name w:val="List Paragraph"/>
    <w:basedOn w:val="Normal"/>
    <w:uiPriority w:val="34"/>
    <w:qFormat/>
    <w:rsid w:val="00D227E3"/>
    <w:pPr>
      <w:ind w:left="708"/>
    </w:pPr>
    <w:rPr>
      <w:sz w:val="20"/>
      <w:szCs w:val="20"/>
    </w:rPr>
  </w:style>
  <w:style w:type="paragraph" w:customStyle="1" w:styleId="Contedodoquadro">
    <w:name w:val="Conteúdo do quadro"/>
    <w:basedOn w:val="Normal"/>
    <w:qFormat/>
    <w:rsid w:val="00AD0DFE"/>
  </w:style>
  <w:style w:type="paragraph" w:customStyle="1" w:styleId="Contedodatabela">
    <w:name w:val="Conteúdo da tabela"/>
    <w:basedOn w:val="Normal"/>
    <w:qFormat/>
    <w:rsid w:val="00AD0DFE"/>
    <w:pPr>
      <w:suppressLineNumbers/>
    </w:pPr>
  </w:style>
  <w:style w:type="paragraph" w:customStyle="1" w:styleId="Ttulodetabela">
    <w:name w:val="Título de tabela"/>
    <w:basedOn w:val="Contedodatabela"/>
    <w:qFormat/>
    <w:rsid w:val="00AD0DFE"/>
    <w:pPr>
      <w:jc w:val="center"/>
    </w:pPr>
    <w:rPr>
      <w:b/>
      <w:bCs/>
    </w:rPr>
  </w:style>
  <w:style w:type="table" w:styleId="Tabelacomgrade">
    <w:name w:val="Table Grid"/>
    <w:basedOn w:val="Tabelanormal"/>
    <w:uiPriority w:val="59"/>
    <w:rsid w:val="002E2B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861739">
      <w:bodyDiv w:val="1"/>
      <w:marLeft w:val="0"/>
      <w:marRight w:val="0"/>
      <w:marTop w:val="0"/>
      <w:marBottom w:val="0"/>
      <w:divBdr>
        <w:top w:val="none" w:sz="0" w:space="0" w:color="auto"/>
        <w:left w:val="none" w:sz="0" w:space="0" w:color="auto"/>
        <w:bottom w:val="none" w:sz="0" w:space="0" w:color="auto"/>
        <w:right w:val="none" w:sz="0" w:space="0" w:color="auto"/>
      </w:divBdr>
    </w:div>
    <w:div w:id="1259631374">
      <w:bodyDiv w:val="1"/>
      <w:marLeft w:val="0"/>
      <w:marRight w:val="0"/>
      <w:marTop w:val="0"/>
      <w:marBottom w:val="0"/>
      <w:divBdr>
        <w:top w:val="none" w:sz="0" w:space="0" w:color="auto"/>
        <w:left w:val="none" w:sz="0" w:space="0" w:color="auto"/>
        <w:bottom w:val="none" w:sz="0" w:space="0" w:color="auto"/>
        <w:right w:val="none" w:sz="0" w:space="0" w:color="auto"/>
      </w:divBdr>
    </w:div>
    <w:div w:id="1618873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79FC3-5573-473E-A13A-5F7642954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1753</TotalTime>
  <Pages>6</Pages>
  <Words>1395</Words>
  <Characters>7538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DEPTO. DE INFORMÁTICA</Company>
  <LinksUpToDate>false</LinksUpToDate>
  <CharactersWithSpaces>8916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LICITACAO08</dc:creator>
  <dc:description/>
  <cp:lastModifiedBy>PCONTAS01</cp:lastModifiedBy>
  <cp:revision>324</cp:revision>
  <cp:lastPrinted>2018-01-29T18:47:00Z</cp:lastPrinted>
  <dcterms:created xsi:type="dcterms:W3CDTF">2014-12-22T19:16:00Z</dcterms:created>
  <dcterms:modified xsi:type="dcterms:W3CDTF">2020-11-05T14:21:00Z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DEPTO. DE INFORMÁTICA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